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B20A" w14:textId="0553E045" w:rsidR="000A3741" w:rsidRDefault="00000000">
      <w:pPr>
        <w:spacing w:before="120"/>
        <w:jc w:val="right"/>
        <w:rPr>
          <w:spacing w:val="40"/>
          <w:sz w:val="28"/>
        </w:rPr>
      </w:pPr>
      <w:r>
        <w:rPr>
          <w:noProof/>
          <w:sz w:val="20"/>
        </w:rPr>
        <w:drawing>
          <wp:anchor distT="0" distB="0" distL="114300" distR="114300" simplePos="0" relativeHeight="251658240" behindDoc="0" locked="0" layoutInCell="1" allowOverlap="1" wp14:anchorId="1D7BDC97" wp14:editId="61607CB5">
            <wp:simplePos x="0" y="0"/>
            <wp:positionH relativeFrom="margin">
              <wp:posOffset>2783205</wp:posOffset>
            </wp:positionH>
            <wp:positionV relativeFrom="paragraph">
              <wp:posOffset>-453390</wp:posOffset>
            </wp:positionV>
            <wp:extent cx="548640" cy="720090"/>
            <wp:effectExtent l="0" t="0" r="3810" b="381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8640" cy="720090"/>
                    </a:xfrm>
                    <a:prstGeom prst="rect">
                      <a:avLst/>
                    </a:prstGeom>
                  </pic:spPr>
                </pic:pic>
              </a:graphicData>
            </a:graphic>
          </wp:anchor>
        </w:drawing>
      </w:r>
    </w:p>
    <w:p w14:paraId="081F4E3D" w14:textId="77777777" w:rsidR="000A3741" w:rsidRPr="00424117" w:rsidRDefault="00000000">
      <w:pPr>
        <w:pStyle w:val="ConsPlusTitle"/>
        <w:widowControl/>
        <w:jc w:val="center"/>
        <w:rPr>
          <w:rFonts w:ascii="Times New Roman" w:hAnsi="Times New Roman"/>
          <w:sz w:val="32"/>
          <w:szCs w:val="32"/>
        </w:rPr>
      </w:pPr>
      <w:bookmarkStart w:id="0" w:name="%2525252525D0%252525252594%2525252525D0%"/>
      <w:bookmarkEnd w:id="0"/>
      <w:r w:rsidRPr="00424117">
        <w:rPr>
          <w:rFonts w:ascii="Times New Roman" w:hAnsi="Times New Roman"/>
          <w:sz w:val="32"/>
          <w:szCs w:val="32"/>
        </w:rPr>
        <w:t>РОСТОВСКАЯ ОБЛАСТЬ</w:t>
      </w:r>
    </w:p>
    <w:p w14:paraId="34091FDA" w14:textId="77777777" w:rsidR="000A3741" w:rsidRPr="00424117" w:rsidRDefault="00000000">
      <w:pPr>
        <w:pStyle w:val="ConsPlusTitle"/>
        <w:widowControl/>
        <w:jc w:val="center"/>
        <w:rPr>
          <w:rFonts w:ascii="Times New Roman" w:hAnsi="Times New Roman"/>
          <w:sz w:val="32"/>
          <w:szCs w:val="32"/>
        </w:rPr>
      </w:pPr>
      <w:r w:rsidRPr="00424117">
        <w:rPr>
          <w:rFonts w:ascii="Times New Roman" w:hAnsi="Times New Roman"/>
          <w:sz w:val="32"/>
          <w:szCs w:val="32"/>
        </w:rPr>
        <w:t>СОБРАНИЕ ДЕПУТАТОВ БЕЛОКАЛИТВИНСКОГО РАЙОНА</w:t>
      </w:r>
    </w:p>
    <w:p w14:paraId="5D17AFAE" w14:textId="77777777" w:rsidR="000A3741" w:rsidRDefault="000A3741">
      <w:pPr>
        <w:pStyle w:val="ConsPlusTitle"/>
        <w:widowControl/>
        <w:jc w:val="center"/>
        <w:rPr>
          <w:rFonts w:ascii="Times New Roman" w:hAnsi="Times New Roman"/>
          <w:sz w:val="28"/>
        </w:rPr>
      </w:pPr>
    </w:p>
    <w:p w14:paraId="70BB9CF8" w14:textId="77777777" w:rsidR="000A3741" w:rsidRDefault="00000000">
      <w:pPr>
        <w:pStyle w:val="2"/>
        <w:spacing w:before="0" w:after="0"/>
        <w:jc w:val="center"/>
        <w:rPr>
          <w:rFonts w:ascii="Times New Roman" w:hAnsi="Times New Roman"/>
          <w:i w:val="0"/>
          <w:spacing w:val="80"/>
          <w:sz w:val="36"/>
        </w:rPr>
      </w:pPr>
      <w:r>
        <w:rPr>
          <w:rFonts w:ascii="Times New Roman" w:hAnsi="Times New Roman"/>
          <w:i w:val="0"/>
          <w:spacing w:val="80"/>
          <w:sz w:val="36"/>
        </w:rPr>
        <w:t>РЕШЕНИЕ</w:t>
      </w:r>
    </w:p>
    <w:p w14:paraId="6881D279" w14:textId="77777777" w:rsidR="000A3741" w:rsidRDefault="000A3741">
      <w:pPr>
        <w:rPr>
          <w:b/>
          <w:sz w:val="28"/>
        </w:rPr>
      </w:pPr>
    </w:p>
    <w:tbl>
      <w:tblPr>
        <w:tblW w:w="0" w:type="auto"/>
        <w:tblLayout w:type="fixed"/>
        <w:tblLook w:val="04A0" w:firstRow="1" w:lastRow="0" w:firstColumn="1" w:lastColumn="0" w:noHBand="0" w:noVBand="1"/>
      </w:tblPr>
      <w:tblGrid>
        <w:gridCol w:w="3212"/>
        <w:gridCol w:w="3212"/>
        <w:gridCol w:w="3213"/>
      </w:tblGrid>
      <w:tr w:rsidR="000A3741" w14:paraId="6D01EEEC" w14:textId="77777777">
        <w:tc>
          <w:tcPr>
            <w:tcW w:w="3212" w:type="dxa"/>
          </w:tcPr>
          <w:p w14:paraId="577459E0" w14:textId="59492669" w:rsidR="000A3741" w:rsidRDefault="00424117">
            <w:pPr>
              <w:rPr>
                <w:sz w:val="28"/>
              </w:rPr>
            </w:pPr>
            <w:r>
              <w:rPr>
                <w:sz w:val="28"/>
              </w:rPr>
              <w:t>26 февраля</w:t>
            </w:r>
            <w:r w:rsidR="00000000">
              <w:rPr>
                <w:sz w:val="28"/>
              </w:rPr>
              <w:t xml:space="preserve"> 2026 года</w:t>
            </w:r>
          </w:p>
        </w:tc>
        <w:tc>
          <w:tcPr>
            <w:tcW w:w="3212" w:type="dxa"/>
          </w:tcPr>
          <w:p w14:paraId="25A8D220" w14:textId="771CD9A3" w:rsidR="000A3741" w:rsidRDefault="00000000">
            <w:pPr>
              <w:jc w:val="center"/>
              <w:rPr>
                <w:sz w:val="28"/>
              </w:rPr>
            </w:pPr>
            <w:r>
              <w:rPr>
                <w:sz w:val="28"/>
              </w:rPr>
              <w:t xml:space="preserve">№ </w:t>
            </w:r>
            <w:r w:rsidR="00424117">
              <w:rPr>
                <w:sz w:val="28"/>
              </w:rPr>
              <w:t>270</w:t>
            </w:r>
          </w:p>
        </w:tc>
        <w:tc>
          <w:tcPr>
            <w:tcW w:w="3213" w:type="dxa"/>
          </w:tcPr>
          <w:p w14:paraId="5891D0BE" w14:textId="77777777" w:rsidR="000A3741" w:rsidRDefault="00000000">
            <w:pPr>
              <w:jc w:val="right"/>
              <w:rPr>
                <w:sz w:val="28"/>
              </w:rPr>
            </w:pPr>
            <w:r>
              <w:rPr>
                <w:sz w:val="28"/>
              </w:rPr>
              <w:t>г. Белая Калитва</w:t>
            </w:r>
          </w:p>
        </w:tc>
      </w:tr>
    </w:tbl>
    <w:p w14:paraId="7E37D522" w14:textId="77777777" w:rsidR="000A3741" w:rsidRDefault="000A3741">
      <w:pPr>
        <w:jc w:val="center"/>
        <w:rPr>
          <w:b/>
          <w:sz w:val="28"/>
        </w:rPr>
      </w:pPr>
    </w:p>
    <w:p w14:paraId="3EF86DDE" w14:textId="77777777" w:rsidR="000A3741" w:rsidRDefault="00000000">
      <w:pPr>
        <w:spacing w:line="276" w:lineRule="auto"/>
        <w:ind w:right="-2"/>
        <w:jc w:val="center"/>
        <w:rPr>
          <w:b/>
          <w:sz w:val="28"/>
        </w:rPr>
      </w:pPr>
      <w:r>
        <w:rPr>
          <w:b/>
          <w:sz w:val="28"/>
        </w:rPr>
        <w:t>О внесении изменений в решение Собрания депутатов</w:t>
      </w:r>
    </w:p>
    <w:p w14:paraId="31D78D13" w14:textId="77777777" w:rsidR="00424117" w:rsidRDefault="00000000">
      <w:pPr>
        <w:spacing w:line="276" w:lineRule="auto"/>
        <w:ind w:right="-2"/>
        <w:jc w:val="center"/>
        <w:rPr>
          <w:b/>
          <w:sz w:val="28"/>
        </w:rPr>
      </w:pPr>
      <w:r>
        <w:rPr>
          <w:b/>
          <w:sz w:val="28"/>
        </w:rPr>
        <w:t>Белокалитвинского района от 27 августа 2009 года № 405</w:t>
      </w:r>
    </w:p>
    <w:p w14:paraId="5B9BA282" w14:textId="400C459E" w:rsidR="000A3741" w:rsidRDefault="00000000">
      <w:pPr>
        <w:spacing w:line="276" w:lineRule="auto"/>
        <w:ind w:right="-2"/>
        <w:jc w:val="center"/>
        <w:rPr>
          <w:b/>
          <w:sz w:val="28"/>
        </w:rPr>
      </w:pPr>
      <w:r>
        <w:rPr>
          <w:b/>
          <w:sz w:val="28"/>
        </w:rPr>
        <w:t>«Об утверждении Положения об условиях и порядке назначения государственной пенсии за выслугу лет лицам, замещавшим муниципальные должности и должности муниципальной службы»</w:t>
      </w:r>
    </w:p>
    <w:p w14:paraId="7CB62C4A" w14:textId="77777777" w:rsidR="000A3741" w:rsidRDefault="000A3741">
      <w:pPr>
        <w:tabs>
          <w:tab w:val="left" w:pos="1720"/>
        </w:tabs>
        <w:spacing w:line="276" w:lineRule="auto"/>
        <w:rPr>
          <w:sz w:val="20"/>
        </w:rPr>
      </w:pPr>
    </w:p>
    <w:p w14:paraId="292F2E95" w14:textId="77777777" w:rsidR="00424117" w:rsidRDefault="00000000">
      <w:pPr>
        <w:pStyle w:val="a7"/>
        <w:spacing w:line="276" w:lineRule="auto"/>
        <w:ind w:firstLine="709"/>
        <w:rPr>
          <w:sz w:val="28"/>
        </w:rPr>
      </w:pPr>
      <w:r>
        <w:rPr>
          <w:sz w:val="28"/>
        </w:rPr>
        <w:t>В целях приведения нормативного правового акта Белокалитвинского района в соответствие с действующим законодательством</w:t>
      </w:r>
    </w:p>
    <w:p w14:paraId="73CE15A1" w14:textId="3B077C0F" w:rsidR="000A3741" w:rsidRDefault="00000000">
      <w:pPr>
        <w:pStyle w:val="a7"/>
        <w:spacing w:line="276" w:lineRule="auto"/>
        <w:ind w:firstLine="709"/>
        <w:rPr>
          <w:sz w:val="28"/>
        </w:rPr>
      </w:pPr>
      <w:r>
        <w:rPr>
          <w:sz w:val="28"/>
        </w:rPr>
        <w:t>Собрание депутатов Белокалитвинского района</w:t>
      </w:r>
    </w:p>
    <w:p w14:paraId="4420C058" w14:textId="77777777" w:rsidR="000A3741" w:rsidRDefault="000A3741">
      <w:pPr>
        <w:pStyle w:val="a7"/>
        <w:spacing w:line="276" w:lineRule="auto"/>
        <w:ind w:firstLine="709"/>
        <w:rPr>
          <w:sz w:val="28"/>
        </w:rPr>
      </w:pPr>
    </w:p>
    <w:p w14:paraId="377FB760" w14:textId="77777777" w:rsidR="000A3741" w:rsidRDefault="00000000">
      <w:pPr>
        <w:tabs>
          <w:tab w:val="left" w:pos="1720"/>
        </w:tabs>
        <w:spacing w:line="276" w:lineRule="auto"/>
        <w:jc w:val="center"/>
        <w:rPr>
          <w:b/>
          <w:sz w:val="32"/>
        </w:rPr>
      </w:pPr>
      <w:r>
        <w:rPr>
          <w:b/>
          <w:spacing w:val="80"/>
          <w:sz w:val="32"/>
        </w:rPr>
        <w:t>РЕШИЛ</w:t>
      </w:r>
      <w:r>
        <w:rPr>
          <w:b/>
          <w:sz w:val="32"/>
        </w:rPr>
        <w:t>О:</w:t>
      </w:r>
    </w:p>
    <w:p w14:paraId="39AABBB0" w14:textId="77777777" w:rsidR="000A3741" w:rsidRDefault="000A3741">
      <w:pPr>
        <w:tabs>
          <w:tab w:val="left" w:pos="1720"/>
        </w:tabs>
        <w:spacing w:line="276" w:lineRule="auto"/>
        <w:ind w:firstLine="709"/>
        <w:jc w:val="both"/>
        <w:rPr>
          <w:sz w:val="28"/>
        </w:rPr>
      </w:pPr>
    </w:p>
    <w:p w14:paraId="65EF124C" w14:textId="462F9F30" w:rsidR="000A3741" w:rsidRDefault="00000000">
      <w:pPr>
        <w:tabs>
          <w:tab w:val="left" w:pos="1720"/>
        </w:tabs>
        <w:ind w:firstLine="709"/>
        <w:jc w:val="both"/>
        <w:rPr>
          <w:sz w:val="28"/>
        </w:rPr>
      </w:pPr>
      <w:r>
        <w:rPr>
          <w:sz w:val="28"/>
        </w:rPr>
        <w:t>1. Внести в приложение к решению Собрания депутатов Белокалитвинского района от 27 августа 2009 года № 405 «Об утверждении Положения об условиях и порядке назначения государственной пенсии</w:t>
      </w:r>
      <w:r w:rsidR="00424117">
        <w:rPr>
          <w:sz w:val="28"/>
        </w:rPr>
        <w:br/>
      </w:r>
      <w:r>
        <w:rPr>
          <w:sz w:val="28"/>
        </w:rPr>
        <w:t>за выслугу лет лицам, замещавшим муниципальные должности и должности муниципальной службы» изменения согласно приложению к настоящему решению.</w:t>
      </w:r>
    </w:p>
    <w:p w14:paraId="1F9DD2C4" w14:textId="77777777" w:rsidR="000A3741" w:rsidRDefault="00000000">
      <w:pPr>
        <w:tabs>
          <w:tab w:val="left" w:pos="1720"/>
        </w:tabs>
        <w:ind w:firstLine="709"/>
        <w:jc w:val="both"/>
        <w:rPr>
          <w:sz w:val="28"/>
        </w:rPr>
      </w:pPr>
      <w:r>
        <w:rPr>
          <w:sz w:val="28"/>
        </w:rPr>
        <w:t>2. Настоящее решение вступает в силу со дня его официального опубликования.</w:t>
      </w:r>
    </w:p>
    <w:p w14:paraId="04AB64ED" w14:textId="714C2138" w:rsidR="000A3741" w:rsidRDefault="00000000">
      <w:pPr>
        <w:tabs>
          <w:tab w:val="left" w:pos="937"/>
          <w:tab w:val="left" w:pos="2267"/>
        </w:tabs>
        <w:ind w:left="17" w:firstLine="709"/>
        <w:jc w:val="both"/>
        <w:rPr>
          <w:sz w:val="28"/>
        </w:rPr>
      </w:pPr>
      <w:r>
        <w:rPr>
          <w:sz w:val="28"/>
        </w:rPr>
        <w:t>3. Контроль за исполнением настоящего решения возложить</w:t>
      </w:r>
      <w:r w:rsidR="00424117">
        <w:rPr>
          <w:sz w:val="28"/>
        </w:rPr>
        <w:br/>
      </w:r>
      <w:r>
        <w:rPr>
          <w:sz w:val="28"/>
        </w:rPr>
        <w:t xml:space="preserve">на председателя постоянной комиссии Собрания депутатов Белокалитвинского района по экономической реформе, бюджету, налогам и муниципальной собственности Войнову Н.А. и заместителя главы Администрации Белокалитвинского района по социальным вопросам </w:t>
      </w:r>
      <w:proofErr w:type="spellStart"/>
      <w:r>
        <w:rPr>
          <w:sz w:val="28"/>
        </w:rPr>
        <w:t>Керенцеву</w:t>
      </w:r>
      <w:proofErr w:type="spellEnd"/>
      <w:r>
        <w:rPr>
          <w:sz w:val="28"/>
        </w:rPr>
        <w:t xml:space="preserve"> Е.Н.</w:t>
      </w:r>
    </w:p>
    <w:p w14:paraId="3E4B82A8" w14:textId="77777777" w:rsidR="000A3741" w:rsidRDefault="000A3741">
      <w:pPr>
        <w:pStyle w:val="ConsPlusTitle"/>
        <w:widowControl/>
        <w:spacing w:line="276" w:lineRule="auto"/>
        <w:rPr>
          <w:rFonts w:ascii="Times New Roman" w:hAnsi="Times New Roman"/>
          <w:spacing w:val="10"/>
          <w:sz w:val="28"/>
        </w:rPr>
      </w:pPr>
    </w:p>
    <w:p w14:paraId="6704880D" w14:textId="77777777" w:rsidR="00424117" w:rsidRDefault="00424117">
      <w:pPr>
        <w:pStyle w:val="ConsPlusTitle"/>
        <w:widowControl/>
        <w:spacing w:line="276" w:lineRule="auto"/>
        <w:rPr>
          <w:rFonts w:ascii="Times New Roman" w:hAnsi="Times New Roman"/>
          <w:spacing w:val="10"/>
          <w:sz w:val="28"/>
        </w:rPr>
      </w:pPr>
    </w:p>
    <w:p w14:paraId="59D1AFA8" w14:textId="77777777" w:rsidR="00424117" w:rsidRDefault="00424117">
      <w:pPr>
        <w:pStyle w:val="ConsPlusTitle"/>
        <w:widowControl/>
        <w:spacing w:line="276" w:lineRule="auto"/>
        <w:rPr>
          <w:rFonts w:ascii="Times New Roman" w:hAnsi="Times New Roman"/>
          <w:spacing w:val="10"/>
          <w:sz w:val="28"/>
        </w:rPr>
      </w:pPr>
    </w:p>
    <w:p w14:paraId="71E04776" w14:textId="77777777" w:rsidR="000A3741" w:rsidRDefault="00000000">
      <w:pPr>
        <w:rPr>
          <w:sz w:val="28"/>
        </w:rPr>
      </w:pPr>
      <w:r>
        <w:rPr>
          <w:sz w:val="28"/>
        </w:rPr>
        <w:t>Председатель</w:t>
      </w:r>
    </w:p>
    <w:p w14:paraId="4422714E" w14:textId="77777777" w:rsidR="000A3741" w:rsidRDefault="00000000">
      <w:pPr>
        <w:rPr>
          <w:sz w:val="28"/>
        </w:rPr>
      </w:pPr>
      <w:r>
        <w:rPr>
          <w:sz w:val="28"/>
        </w:rPr>
        <w:t xml:space="preserve">Собрания депутатов – </w:t>
      </w:r>
    </w:p>
    <w:p w14:paraId="7861857D" w14:textId="77777777" w:rsidR="000A3741" w:rsidRDefault="00000000">
      <w:pPr>
        <w:rPr>
          <w:sz w:val="28"/>
        </w:rPr>
      </w:pPr>
      <w:r>
        <w:rPr>
          <w:sz w:val="28"/>
        </w:rPr>
        <w:t>глава Белокалитвинского района                                                       С.В. Харченко</w:t>
      </w:r>
    </w:p>
    <w:p w14:paraId="51441770" w14:textId="77777777" w:rsidR="00424117" w:rsidRDefault="00424117">
      <w:pPr>
        <w:rPr>
          <w:sz w:val="28"/>
        </w:rPr>
      </w:pPr>
    </w:p>
    <w:p w14:paraId="504B098A" w14:textId="0F29CA57" w:rsidR="000A3741" w:rsidRDefault="00424117">
      <w:pPr>
        <w:rPr>
          <w:sz w:val="28"/>
        </w:rPr>
      </w:pPr>
      <w:r>
        <w:rPr>
          <w:sz w:val="28"/>
        </w:rPr>
        <w:t>26 февраля</w:t>
      </w:r>
      <w:r w:rsidR="00000000">
        <w:rPr>
          <w:sz w:val="28"/>
        </w:rPr>
        <w:t xml:space="preserve"> 2026 года</w:t>
      </w:r>
    </w:p>
    <w:p w14:paraId="69B9DA28" w14:textId="77777777" w:rsidR="000A3741" w:rsidRDefault="000A3741">
      <w:pPr>
        <w:tabs>
          <w:tab w:val="left" w:pos="7380"/>
          <w:tab w:val="left" w:pos="8100"/>
        </w:tabs>
        <w:rPr>
          <w:sz w:val="16"/>
        </w:rPr>
      </w:pPr>
    </w:p>
    <w:p w14:paraId="3B849200" w14:textId="77777777" w:rsidR="000A3741" w:rsidRDefault="00000000">
      <w:pPr>
        <w:pStyle w:val="ConsPlusNonformat"/>
        <w:ind w:left="5103"/>
        <w:jc w:val="right"/>
        <w:rPr>
          <w:rFonts w:ascii="Times New Roman" w:hAnsi="Times New Roman"/>
          <w:sz w:val="24"/>
        </w:rPr>
      </w:pPr>
      <w:r>
        <w:rPr>
          <w:rFonts w:ascii="Times New Roman" w:hAnsi="Times New Roman"/>
          <w:sz w:val="24"/>
        </w:rPr>
        <w:lastRenderedPageBreak/>
        <w:t>Приложение</w:t>
      </w:r>
    </w:p>
    <w:p w14:paraId="67E1D873" w14:textId="77777777" w:rsidR="000A3741" w:rsidRDefault="00000000">
      <w:pPr>
        <w:pStyle w:val="ConsPlusNonformat"/>
        <w:ind w:left="5103"/>
        <w:jc w:val="right"/>
        <w:rPr>
          <w:rFonts w:ascii="Times New Roman" w:hAnsi="Times New Roman"/>
          <w:sz w:val="24"/>
        </w:rPr>
      </w:pPr>
      <w:r>
        <w:rPr>
          <w:rFonts w:ascii="Times New Roman" w:hAnsi="Times New Roman"/>
          <w:sz w:val="24"/>
        </w:rPr>
        <w:t>к решению Собрания депутатов</w:t>
      </w:r>
    </w:p>
    <w:p w14:paraId="5E39946F" w14:textId="77777777" w:rsidR="000A3741" w:rsidRDefault="00000000" w:rsidP="00424117">
      <w:pPr>
        <w:widowControl w:val="0"/>
        <w:ind w:left="5103"/>
        <w:jc w:val="right"/>
      </w:pPr>
      <w:r>
        <w:t>Белокалитвинского района</w:t>
      </w:r>
    </w:p>
    <w:p w14:paraId="62004C4D" w14:textId="4299EC7E" w:rsidR="000A3741" w:rsidRDefault="00000000" w:rsidP="00424117">
      <w:pPr>
        <w:widowControl w:val="0"/>
        <w:ind w:left="5103"/>
        <w:jc w:val="right"/>
      </w:pPr>
      <w:r>
        <w:t xml:space="preserve">от </w:t>
      </w:r>
      <w:r w:rsidR="00424117">
        <w:t>26 февраля</w:t>
      </w:r>
      <w:r>
        <w:t xml:space="preserve"> 2026 года № </w:t>
      </w:r>
      <w:r w:rsidR="00424117">
        <w:t>270</w:t>
      </w:r>
    </w:p>
    <w:p w14:paraId="3E96CE88" w14:textId="18AB80C4" w:rsidR="00424117" w:rsidRPr="00424117" w:rsidRDefault="00424117" w:rsidP="00424117">
      <w:pPr>
        <w:widowControl w:val="0"/>
        <w:ind w:left="5103"/>
        <w:jc w:val="right"/>
      </w:pPr>
      <w:r>
        <w:t>«</w:t>
      </w:r>
      <w:r w:rsidRPr="00424117">
        <w:t>О внесении изменений в решение Собрания депутатов</w:t>
      </w:r>
      <w:r w:rsidR="00F05396">
        <w:t xml:space="preserve"> </w:t>
      </w:r>
      <w:r w:rsidRPr="00424117">
        <w:t>Белокалитвинского района от 27 августа 2009 года № 405</w:t>
      </w:r>
    </w:p>
    <w:p w14:paraId="2C4D21AD" w14:textId="3A7E0CFA" w:rsidR="00424117" w:rsidRDefault="00424117" w:rsidP="00424117">
      <w:pPr>
        <w:widowControl w:val="0"/>
        <w:ind w:left="5103"/>
        <w:jc w:val="right"/>
      </w:pPr>
      <w:r w:rsidRPr="00424117">
        <w:t>«Об утверждении Положения об условиях и порядке назначения государственной пенсии за выслугу лет лицам, замещавшим муниципальные должности и должности муниципальной службы</w:t>
      </w:r>
      <w:r>
        <w:t>»</w:t>
      </w:r>
    </w:p>
    <w:p w14:paraId="714AF223" w14:textId="77777777" w:rsidR="000A3741" w:rsidRDefault="000A3741">
      <w:pPr>
        <w:jc w:val="center"/>
        <w:rPr>
          <w:b/>
          <w:sz w:val="28"/>
        </w:rPr>
      </w:pPr>
    </w:p>
    <w:p w14:paraId="63380D44" w14:textId="77777777" w:rsidR="000A3741" w:rsidRDefault="00000000">
      <w:pPr>
        <w:jc w:val="center"/>
        <w:rPr>
          <w:b/>
          <w:sz w:val="28"/>
        </w:rPr>
      </w:pPr>
      <w:r>
        <w:rPr>
          <w:b/>
          <w:sz w:val="28"/>
        </w:rPr>
        <w:t xml:space="preserve">ИЗМЕНЕНИЯ, </w:t>
      </w:r>
    </w:p>
    <w:p w14:paraId="3B645E49" w14:textId="77777777" w:rsidR="00F05396" w:rsidRDefault="00000000">
      <w:pPr>
        <w:jc w:val="center"/>
        <w:rPr>
          <w:sz w:val="28"/>
        </w:rPr>
      </w:pPr>
      <w:r>
        <w:rPr>
          <w:sz w:val="28"/>
        </w:rPr>
        <w:t>вносимые в приложение к решению Собрания депутатов</w:t>
      </w:r>
    </w:p>
    <w:p w14:paraId="1AAAAFF8" w14:textId="77777777" w:rsidR="00F05396" w:rsidRDefault="00000000">
      <w:pPr>
        <w:jc w:val="center"/>
        <w:rPr>
          <w:sz w:val="28"/>
        </w:rPr>
      </w:pPr>
      <w:r>
        <w:rPr>
          <w:sz w:val="28"/>
        </w:rPr>
        <w:t>Белокалитвинского района от 27 августа 2009 года № 405 «Об утверждении Положения об условиях и порядке назначения государственной пенсии</w:t>
      </w:r>
    </w:p>
    <w:p w14:paraId="1857DEC2" w14:textId="77777777" w:rsidR="00F05396" w:rsidRDefault="00000000">
      <w:pPr>
        <w:jc w:val="center"/>
        <w:rPr>
          <w:sz w:val="28"/>
        </w:rPr>
      </w:pPr>
      <w:r>
        <w:rPr>
          <w:sz w:val="28"/>
        </w:rPr>
        <w:t>за выслугу лет лицам, замещавшим муниципальные должности</w:t>
      </w:r>
    </w:p>
    <w:p w14:paraId="7861E0E9" w14:textId="66BA68EB" w:rsidR="000A3741" w:rsidRDefault="00000000">
      <w:pPr>
        <w:jc w:val="center"/>
        <w:rPr>
          <w:sz w:val="28"/>
        </w:rPr>
      </w:pPr>
      <w:r>
        <w:rPr>
          <w:sz w:val="28"/>
        </w:rPr>
        <w:t>и должности муниципальной службы»</w:t>
      </w:r>
    </w:p>
    <w:p w14:paraId="7F7BD94C" w14:textId="77777777" w:rsidR="000A3741" w:rsidRDefault="000A3741">
      <w:pPr>
        <w:ind w:firstLine="709"/>
        <w:jc w:val="both"/>
        <w:rPr>
          <w:sz w:val="28"/>
        </w:rPr>
      </w:pPr>
    </w:p>
    <w:p w14:paraId="4D4C348A" w14:textId="77777777" w:rsidR="000A3741" w:rsidRDefault="00000000">
      <w:pPr>
        <w:ind w:firstLine="709"/>
        <w:jc w:val="both"/>
        <w:rPr>
          <w:sz w:val="28"/>
        </w:rPr>
      </w:pPr>
      <w:r>
        <w:rPr>
          <w:sz w:val="28"/>
        </w:rPr>
        <w:t>1. В главе 4:</w:t>
      </w:r>
    </w:p>
    <w:p w14:paraId="7F887CC1" w14:textId="367CE4DE" w:rsidR="000A3741" w:rsidRDefault="00000000">
      <w:pPr>
        <w:ind w:firstLine="709"/>
        <w:jc w:val="both"/>
        <w:rPr>
          <w:sz w:val="28"/>
        </w:rPr>
      </w:pPr>
      <w:r>
        <w:rPr>
          <w:sz w:val="28"/>
        </w:rPr>
        <w:t>1</w:t>
      </w:r>
      <w:r w:rsidR="00F05396">
        <w:rPr>
          <w:sz w:val="28"/>
        </w:rPr>
        <w:t>)</w:t>
      </w:r>
      <w:r>
        <w:rPr>
          <w:sz w:val="28"/>
        </w:rPr>
        <w:t xml:space="preserve"> </w:t>
      </w:r>
      <w:r w:rsidR="00F05396">
        <w:rPr>
          <w:sz w:val="28"/>
        </w:rPr>
        <w:t>с</w:t>
      </w:r>
      <w:r>
        <w:rPr>
          <w:sz w:val="28"/>
        </w:rPr>
        <w:t>татью 22 изложить в редакции:</w:t>
      </w:r>
    </w:p>
    <w:p w14:paraId="4FE2E0FD" w14:textId="1EAF9F07" w:rsidR="00F05396" w:rsidRDefault="00000000">
      <w:pPr>
        <w:ind w:firstLine="709"/>
        <w:jc w:val="both"/>
        <w:rPr>
          <w:b/>
          <w:bCs/>
          <w:sz w:val="28"/>
        </w:rPr>
      </w:pPr>
      <w:r>
        <w:rPr>
          <w:sz w:val="28"/>
        </w:rPr>
        <w:t>«</w:t>
      </w:r>
      <w:r w:rsidR="00F05396">
        <w:rPr>
          <w:b/>
          <w:bCs/>
          <w:sz w:val="28"/>
        </w:rPr>
        <w:t>Статья 22</w:t>
      </w:r>
    </w:p>
    <w:p w14:paraId="5C8534F5" w14:textId="77777777" w:rsidR="00F05396" w:rsidRPr="00F05396" w:rsidRDefault="00F05396">
      <w:pPr>
        <w:ind w:firstLine="709"/>
        <w:jc w:val="both"/>
        <w:rPr>
          <w:b/>
          <w:bCs/>
          <w:sz w:val="28"/>
        </w:rPr>
      </w:pPr>
    </w:p>
    <w:p w14:paraId="3226E429" w14:textId="1D7FEE3A" w:rsidR="000A3741" w:rsidRDefault="00000000">
      <w:pPr>
        <w:ind w:firstLine="709"/>
        <w:jc w:val="both"/>
        <w:rPr>
          <w:sz w:val="28"/>
        </w:rPr>
      </w:pPr>
      <w:r>
        <w:rPr>
          <w:sz w:val="28"/>
        </w:rPr>
        <w:t>Среднемесячное денежное содержание определяется путем деления суммы полученного за 12 месяцев денежного содержания на 12.</w:t>
      </w:r>
    </w:p>
    <w:p w14:paraId="190BD00A" w14:textId="77777777" w:rsidR="000A3741" w:rsidRDefault="00000000">
      <w:pPr>
        <w:ind w:firstLine="709"/>
        <w:jc w:val="both"/>
        <w:rPr>
          <w:sz w:val="28"/>
        </w:rPr>
      </w:pPr>
      <w:r>
        <w:rPr>
          <w:sz w:val="28"/>
        </w:rPr>
        <w:t>В случае если после дня, определяемого в соответствии со статьей 21 настоящего Положения, и до дня назначения государственной пенсии за выслугу лет произошло повышение в централизованном порядке размера денежного содержания, учитываемого для определения размера государственной пенсии за выслугу лет, то среднемесячное денежное содержание за весь расчетный период рассчитывается исходя из повышенного денежного содержания.</w:t>
      </w:r>
    </w:p>
    <w:p w14:paraId="7538CC9F" w14:textId="44FB3ECC" w:rsidR="000A3741" w:rsidRDefault="00000000">
      <w:pPr>
        <w:ind w:firstLine="709"/>
        <w:jc w:val="both"/>
        <w:rPr>
          <w:sz w:val="28"/>
        </w:rPr>
      </w:pPr>
      <w:r>
        <w:rPr>
          <w:sz w:val="28"/>
        </w:rPr>
        <w:t>В случае если лицо замещало муниципальную должность, должность муниципальной службы менее 12 полных календарных месяцев непосредственно перед днем, определенным в соответствии со статьей 21 настоящего Положения, то среднемесячное денежное содержание определяется путем деления общей суммы полученного денежного содержания за фактически отработанные полные календарные месяцы на число этих месяцев.»</w:t>
      </w:r>
      <w:r w:rsidR="00F05396">
        <w:rPr>
          <w:sz w:val="28"/>
        </w:rPr>
        <w:t>;</w:t>
      </w:r>
    </w:p>
    <w:p w14:paraId="5455C3C6" w14:textId="77777777" w:rsidR="00F05396" w:rsidRDefault="00F05396">
      <w:pPr>
        <w:ind w:firstLine="709"/>
        <w:jc w:val="both"/>
        <w:rPr>
          <w:sz w:val="28"/>
        </w:rPr>
      </w:pPr>
    </w:p>
    <w:p w14:paraId="1F0EEA6C" w14:textId="29CFA1D3" w:rsidR="000A3741" w:rsidRDefault="00F05396">
      <w:pPr>
        <w:ind w:firstLine="709"/>
        <w:jc w:val="both"/>
        <w:rPr>
          <w:sz w:val="28"/>
        </w:rPr>
      </w:pPr>
      <w:r>
        <w:rPr>
          <w:sz w:val="28"/>
        </w:rPr>
        <w:t>2)</w:t>
      </w:r>
      <w:r w:rsidR="00000000">
        <w:rPr>
          <w:b/>
          <w:sz w:val="28"/>
        </w:rPr>
        <w:t xml:space="preserve"> </w:t>
      </w:r>
      <w:r>
        <w:rPr>
          <w:sz w:val="28"/>
        </w:rPr>
        <w:t>с</w:t>
      </w:r>
      <w:r w:rsidR="00000000">
        <w:rPr>
          <w:sz w:val="28"/>
        </w:rPr>
        <w:t>татью 23 изложить в редакции:</w:t>
      </w:r>
    </w:p>
    <w:p w14:paraId="23F20151" w14:textId="55C1C8A4" w:rsidR="00F05396" w:rsidRPr="00F05396" w:rsidRDefault="00000000">
      <w:pPr>
        <w:spacing w:after="200"/>
        <w:ind w:firstLine="709"/>
        <w:contextualSpacing/>
        <w:jc w:val="both"/>
        <w:rPr>
          <w:b/>
          <w:bCs/>
          <w:sz w:val="28"/>
        </w:rPr>
      </w:pPr>
      <w:r>
        <w:rPr>
          <w:sz w:val="28"/>
        </w:rPr>
        <w:t>«</w:t>
      </w:r>
      <w:r w:rsidR="00F05396" w:rsidRPr="00F05396">
        <w:rPr>
          <w:b/>
          <w:bCs/>
          <w:sz w:val="28"/>
        </w:rPr>
        <w:t>Статья 23</w:t>
      </w:r>
    </w:p>
    <w:p w14:paraId="256667E3" w14:textId="77777777" w:rsidR="00F05396" w:rsidRDefault="00F05396">
      <w:pPr>
        <w:spacing w:after="200"/>
        <w:ind w:firstLine="709"/>
        <w:contextualSpacing/>
        <w:jc w:val="both"/>
        <w:rPr>
          <w:sz w:val="28"/>
        </w:rPr>
      </w:pPr>
    </w:p>
    <w:p w14:paraId="1A43F20D" w14:textId="7D4D9249" w:rsidR="000A3741" w:rsidRDefault="00000000">
      <w:pPr>
        <w:spacing w:after="200"/>
        <w:ind w:firstLine="709"/>
        <w:contextualSpacing/>
        <w:jc w:val="both"/>
        <w:rPr>
          <w:sz w:val="28"/>
        </w:rPr>
      </w:pPr>
      <w:r>
        <w:rPr>
          <w:sz w:val="28"/>
        </w:rPr>
        <w:t xml:space="preserve">1. Размер государственной пенсии за выслугу лет пересчитывается с соблюдением правил, предусмотренных статьями 16-22 настоящего Положения, а также настоящей статьей в следующих случаях: </w:t>
      </w:r>
    </w:p>
    <w:p w14:paraId="3BA994C5" w14:textId="77777777" w:rsidR="000A3741" w:rsidRDefault="00000000">
      <w:pPr>
        <w:tabs>
          <w:tab w:val="left" w:pos="6777"/>
          <w:tab w:val="left" w:pos="6804"/>
          <w:tab w:val="right" w:pos="9355"/>
        </w:tabs>
        <w:ind w:firstLine="709"/>
        <w:jc w:val="both"/>
        <w:rPr>
          <w:sz w:val="28"/>
        </w:rPr>
      </w:pPr>
      <w:r>
        <w:rPr>
          <w:sz w:val="28"/>
        </w:rPr>
        <w:lastRenderedPageBreak/>
        <w:t>при увеличении в централизованном порядке денежного содержания, учитываемого для определения размера государственной пенсии за выслугу лет, в том числе в связи с изменением размера указанного денежного содержания либо его состава;</w:t>
      </w:r>
    </w:p>
    <w:p w14:paraId="73BD1E4F" w14:textId="77777777" w:rsidR="000A3741" w:rsidRDefault="00000000">
      <w:pPr>
        <w:tabs>
          <w:tab w:val="left" w:pos="1080"/>
        </w:tabs>
        <w:ind w:firstLine="709"/>
        <w:jc w:val="both"/>
        <w:rPr>
          <w:sz w:val="28"/>
        </w:rPr>
      </w:pPr>
      <w:r>
        <w:rPr>
          <w:sz w:val="28"/>
        </w:rPr>
        <w:t>при увеличении или уменьшении размера пенсии, к которой назначена государственная пенсия за выслугу лет.</w:t>
      </w:r>
    </w:p>
    <w:p w14:paraId="3940A73F" w14:textId="77777777" w:rsidR="000A3741" w:rsidRDefault="00000000">
      <w:pPr>
        <w:tabs>
          <w:tab w:val="left" w:pos="1080"/>
        </w:tabs>
        <w:ind w:firstLine="709"/>
        <w:jc w:val="both"/>
        <w:rPr>
          <w:rFonts w:ascii="Arial" w:hAnsi="Arial"/>
          <w:sz w:val="20"/>
        </w:rPr>
      </w:pPr>
      <w:r>
        <w:rPr>
          <w:sz w:val="28"/>
        </w:rPr>
        <w:t>2. Если размер государственной пенсии за выслугу лет определялся исходя из должностного оклада, для которого были предусмотрены минимальный и максимальный размеры, а после изменения должностного оклада по соответствующей муниципальной должности, должности муниципальной службы минимальный и (или) максимальный размеры должностного оклада были изменены, то при перерасчете размера государственной пенсии за выслугу лет величина должностного оклада определяется в таком же соотношении к минимальному размеру должностного оклада по соответствующей муниципальной должности, должности муниципальной службы, в каком должностной оклад относился к минимальному размеру должностного оклада по соответствующей муниципальной должности, должности муниципальной службы на день определения размера государственной  пенсии за выслугу лет.</w:t>
      </w:r>
    </w:p>
    <w:p w14:paraId="005D011E" w14:textId="77777777" w:rsidR="000A3741" w:rsidRDefault="00000000">
      <w:pPr>
        <w:tabs>
          <w:tab w:val="left" w:pos="1080"/>
        </w:tabs>
        <w:ind w:firstLine="709"/>
        <w:jc w:val="both"/>
        <w:rPr>
          <w:sz w:val="28"/>
        </w:rPr>
      </w:pPr>
      <w:r>
        <w:rPr>
          <w:sz w:val="28"/>
        </w:rPr>
        <w:t>3. Если размер государственной пенсии за выслугу лет определялся  исходя из должностного оклада, для которого был предусмотрен единый размер, а после изменения размера должностного оклада по соответствующей муниципальной должности, должности муниципальной службы - минимальный и максимальный размеры, то при перерасчете размера государственной  пенсии за выслугу лет размер должностного оклада определяется как средняя величина вновь установленного должностного оклада по соответствующей муниципальной должности, должности муниципальной службы.</w:t>
      </w:r>
    </w:p>
    <w:p w14:paraId="0B009E97" w14:textId="77777777" w:rsidR="000A3741" w:rsidRDefault="00000000">
      <w:pPr>
        <w:tabs>
          <w:tab w:val="left" w:pos="1080"/>
        </w:tabs>
        <w:ind w:firstLine="709"/>
        <w:jc w:val="both"/>
        <w:rPr>
          <w:rFonts w:ascii="Arial" w:hAnsi="Arial"/>
          <w:sz w:val="20"/>
        </w:rPr>
      </w:pPr>
      <w:r>
        <w:rPr>
          <w:sz w:val="28"/>
        </w:rPr>
        <w:t>4. Если размер государственной пенсии за выслугу лет определялся исходя из должностного оклада, для которого были предусмотрены минимальный и максимальный размеры, а после изменения размера должностного оклада по соответствующей муниципальной должности, должности муниципальной службы - единый размер, то при перерасчете размера государственной пенсии за выслугу лет размер должностного оклада определяется как размер вновь установленного должностного оклада по соответствующей муниципальной должности, должности муниципальной службы.</w:t>
      </w:r>
    </w:p>
    <w:p w14:paraId="31D0AD4C" w14:textId="77777777" w:rsidR="000A3741" w:rsidRDefault="00000000">
      <w:pPr>
        <w:ind w:firstLine="709"/>
        <w:jc w:val="both"/>
        <w:rPr>
          <w:sz w:val="28"/>
        </w:rPr>
      </w:pPr>
      <w:r>
        <w:rPr>
          <w:sz w:val="28"/>
        </w:rPr>
        <w:t xml:space="preserve">5. Если размер государственной пенсии за выслугу лет определялся из надбавки к должностному окладу или иной выплаты, включаемой в состав денежного содержания для определения размера государственной пенсии за выслугу лет, для которой были предусмотрены минимальный и максимальный размеры, а после изменения размера денежного содержания по соответствующей муниципальной должности, должности муниципальной службы минимальный и (или) максимальный размеры надбавки к должностному окладу или иной выплаты были изменены, то при перерасчете размера государственной пенсии за выслугу лет размер надбавки или иной выплаты определяется в таком же соотношении к минимальному размеру надбавки или иной выплаты  по </w:t>
      </w:r>
      <w:r>
        <w:rPr>
          <w:sz w:val="28"/>
        </w:rPr>
        <w:lastRenderedPageBreak/>
        <w:t>соответствующей муниципальной должности, должности муниципальной службы, в каком данная надбавка или иная выплата относились к минимальному размеру надбавки или иной выплаты по соответствующей муниципальной должности, должности муниципальной службы на день определения размера государственной пенсии за выслугу лет.</w:t>
      </w:r>
    </w:p>
    <w:p w14:paraId="2D95056F" w14:textId="77777777" w:rsidR="000A3741" w:rsidRDefault="00000000">
      <w:pPr>
        <w:tabs>
          <w:tab w:val="left" w:pos="1080"/>
        </w:tabs>
        <w:ind w:firstLine="709"/>
        <w:jc w:val="both"/>
        <w:rPr>
          <w:sz w:val="28"/>
        </w:rPr>
      </w:pPr>
      <w:r>
        <w:rPr>
          <w:sz w:val="28"/>
        </w:rPr>
        <w:t>6. Если размер государственной пенсии за выслугу лет определялся исходя из надбавки к должностному окладу или иной выплаты, для которой был предусмотрен единый размер, а после изменения размера денежного содержания по соответствующей муниципальной должности, должности муниципальной службы - минимальный и максимальный размеры, то при перерасчете размера государственной пенсии за выслугу лет размер надбавки или иной выплаты определяется как средняя величина данной надбавки или иной выплаты по соответствующей муниципальной должности, должности муниципальной службы.</w:t>
      </w:r>
    </w:p>
    <w:p w14:paraId="48FE2CD5" w14:textId="77777777" w:rsidR="000A3741" w:rsidRDefault="00000000">
      <w:pPr>
        <w:tabs>
          <w:tab w:val="left" w:pos="1080"/>
        </w:tabs>
        <w:ind w:firstLine="709"/>
        <w:jc w:val="both"/>
        <w:rPr>
          <w:sz w:val="28"/>
        </w:rPr>
      </w:pPr>
      <w:r>
        <w:rPr>
          <w:sz w:val="28"/>
        </w:rPr>
        <w:t>7. Если размер государственной пенсии за выслугу лет определялся исходя из надбавки к должностному окладу или иной выплаты, для которой были предусмотрены минимальный и максимальный размеры, а после изменения размера денежного содержания по соответствующей муниципальной должности, должности муниципальной службы - единый размер, то при перерасчете размера государственной пенсии за выслугу лет размер надбавки или иной выплаты определяется как вновь установленный размер надбавки или иной выплаты по соответствующей муниципальной должности, должности муниципальной службы.</w:t>
      </w:r>
    </w:p>
    <w:p w14:paraId="5A0ABDBC" w14:textId="77777777" w:rsidR="000A3741" w:rsidRDefault="00000000">
      <w:pPr>
        <w:tabs>
          <w:tab w:val="left" w:pos="1080"/>
        </w:tabs>
        <w:ind w:firstLine="709"/>
        <w:jc w:val="both"/>
        <w:rPr>
          <w:rFonts w:ascii="Arial" w:hAnsi="Arial"/>
          <w:sz w:val="20"/>
        </w:rPr>
      </w:pPr>
      <w:r>
        <w:rPr>
          <w:sz w:val="28"/>
        </w:rPr>
        <w:t>8. Если после определения размера государственной пенсии за выслугу лет состав денежного содержания по соответствующей муниципальной должности, должности муниципальной службы изменился в связи с включением в его состав надбавки к должностному окладу или иной выплаты, то при перерасчете размера государственной пенсии за выслугу лет учитывается величина вновь установленной в едином размере надбавки к должностному окладу или иной выплаты по соответствующей муниципальной должности, должности муниципальной службы либо средняя величина вновь установленной в минимальном и максимальном размерах надбавки к должностному окладу или иной выплаты по соответствующей муниципальной должности, должности муниципальной службы.</w:t>
      </w:r>
    </w:p>
    <w:p w14:paraId="691DA911" w14:textId="3E90DD83" w:rsidR="000A3741" w:rsidRDefault="00000000">
      <w:pPr>
        <w:tabs>
          <w:tab w:val="left" w:pos="1080"/>
        </w:tabs>
        <w:ind w:firstLine="709"/>
        <w:jc w:val="both"/>
        <w:rPr>
          <w:sz w:val="28"/>
        </w:rPr>
      </w:pPr>
      <w:r>
        <w:rPr>
          <w:sz w:val="28"/>
        </w:rPr>
        <w:t>9. Если в штатном расписании органа местного самоуправления Белокалитвинского района или отраслевого (функционального) органа Администрации Белокалитвинского района на день изменения в централизованном порядке денежного содержания отсутствует ранее замещавшаяся муниципальная должность, должность муниципальной службы, то размер государственной пенсии за выслугу лет пересчитывается исходя из денежного содержания по аналогичной муниципальной должности, должности муниципальной службы, определяемой руководителем соответствующего органа местного самоуправления или отраслевого (функционального) органа Администрации Белокалитвинского района.»</w:t>
      </w:r>
      <w:r w:rsidR="00F05396">
        <w:rPr>
          <w:sz w:val="28"/>
        </w:rPr>
        <w:t>;</w:t>
      </w:r>
    </w:p>
    <w:p w14:paraId="31EBCDDD" w14:textId="7B3894A8" w:rsidR="000A3741" w:rsidRDefault="00F05396">
      <w:pPr>
        <w:tabs>
          <w:tab w:val="left" w:pos="1080"/>
        </w:tabs>
        <w:ind w:firstLine="709"/>
        <w:jc w:val="both"/>
        <w:rPr>
          <w:sz w:val="28"/>
        </w:rPr>
      </w:pPr>
      <w:r>
        <w:rPr>
          <w:sz w:val="28"/>
        </w:rPr>
        <w:lastRenderedPageBreak/>
        <w:t>3)</w:t>
      </w:r>
      <w:r w:rsidR="00000000">
        <w:rPr>
          <w:sz w:val="28"/>
        </w:rPr>
        <w:t xml:space="preserve"> </w:t>
      </w:r>
      <w:r>
        <w:rPr>
          <w:sz w:val="28"/>
        </w:rPr>
        <w:t>с</w:t>
      </w:r>
      <w:r w:rsidR="00000000">
        <w:rPr>
          <w:sz w:val="28"/>
        </w:rPr>
        <w:t>татью 24 изложить в редакции:</w:t>
      </w:r>
    </w:p>
    <w:p w14:paraId="12BCE346" w14:textId="61D47C89" w:rsidR="00F05396" w:rsidRDefault="00000000">
      <w:pPr>
        <w:spacing w:after="200"/>
        <w:ind w:firstLine="709"/>
        <w:contextualSpacing/>
        <w:jc w:val="both"/>
        <w:rPr>
          <w:sz w:val="28"/>
        </w:rPr>
      </w:pPr>
      <w:r>
        <w:rPr>
          <w:sz w:val="28"/>
        </w:rPr>
        <w:t>«</w:t>
      </w:r>
      <w:r w:rsidR="00F05396" w:rsidRPr="00F05396">
        <w:rPr>
          <w:b/>
          <w:bCs/>
          <w:sz w:val="28"/>
        </w:rPr>
        <w:t>Статья 24</w:t>
      </w:r>
    </w:p>
    <w:p w14:paraId="21D47FC3" w14:textId="77777777" w:rsidR="00F05396" w:rsidRDefault="00F05396">
      <w:pPr>
        <w:spacing w:after="200"/>
        <w:ind w:firstLine="709"/>
        <w:contextualSpacing/>
        <w:jc w:val="both"/>
        <w:rPr>
          <w:sz w:val="28"/>
        </w:rPr>
      </w:pPr>
    </w:p>
    <w:p w14:paraId="3E456536" w14:textId="44ABED56" w:rsidR="000A3741" w:rsidRDefault="00000000">
      <w:pPr>
        <w:spacing w:after="200"/>
        <w:ind w:firstLine="709"/>
        <w:contextualSpacing/>
        <w:jc w:val="both"/>
        <w:rPr>
          <w:sz w:val="28"/>
        </w:rPr>
      </w:pPr>
      <w:r>
        <w:rPr>
          <w:sz w:val="28"/>
        </w:rPr>
        <w:t>Перерасчет государственной пенсии за выслугу лет производится:</w:t>
      </w:r>
    </w:p>
    <w:p w14:paraId="07489EDD" w14:textId="77777777" w:rsidR="000A3741" w:rsidRDefault="00000000">
      <w:pPr>
        <w:spacing w:after="200"/>
        <w:ind w:firstLine="709"/>
        <w:contextualSpacing/>
        <w:jc w:val="both"/>
        <w:rPr>
          <w:sz w:val="28"/>
        </w:rPr>
      </w:pPr>
      <w:r>
        <w:rPr>
          <w:sz w:val="28"/>
        </w:rPr>
        <w:t>1) при увеличении в централизованном порядке денежного содержания, учитываемого для определения государственной пенсии за выслугу лет, в том числе в связи с изменением размера указанного денежного содержания либо его состава – с первого числа месяца, в котором произошло изменение денежного содержания либо его состава по соответствующей муниципальной должности, должности муниципальной службы;</w:t>
      </w:r>
    </w:p>
    <w:p w14:paraId="08033A63" w14:textId="77777777" w:rsidR="000A3741" w:rsidRDefault="00000000">
      <w:pPr>
        <w:ind w:firstLine="709"/>
        <w:jc w:val="both"/>
        <w:rPr>
          <w:sz w:val="28"/>
        </w:rPr>
      </w:pPr>
      <w:r>
        <w:rPr>
          <w:sz w:val="28"/>
        </w:rPr>
        <w:t>2) при увеличении или уменьшении размера пенсии, к которой назначена государственная пенсия за выслугу лет, – с первого числа месяца, в котором произошло соответствующее изменение.».</w:t>
      </w:r>
    </w:p>
    <w:p w14:paraId="7A07AC12" w14:textId="77777777" w:rsidR="00B175B7" w:rsidRDefault="00B175B7">
      <w:pPr>
        <w:ind w:firstLine="709"/>
        <w:jc w:val="both"/>
        <w:rPr>
          <w:sz w:val="28"/>
        </w:rPr>
      </w:pPr>
    </w:p>
    <w:p w14:paraId="7EE3A0FB" w14:textId="3236C3F0" w:rsidR="000A3741" w:rsidRDefault="00000000">
      <w:pPr>
        <w:ind w:firstLine="709"/>
        <w:jc w:val="both"/>
        <w:rPr>
          <w:sz w:val="28"/>
        </w:rPr>
      </w:pPr>
      <w:r>
        <w:rPr>
          <w:sz w:val="28"/>
        </w:rPr>
        <w:t>2. Статью 33 главы 5 изложить в редакции:</w:t>
      </w:r>
    </w:p>
    <w:p w14:paraId="0FF7FB78" w14:textId="6F28D87E" w:rsidR="00B175B7" w:rsidRDefault="00000000">
      <w:pPr>
        <w:tabs>
          <w:tab w:val="left" w:pos="1158"/>
        </w:tabs>
        <w:ind w:firstLine="709"/>
        <w:jc w:val="both"/>
        <w:rPr>
          <w:sz w:val="28"/>
        </w:rPr>
      </w:pPr>
      <w:r>
        <w:rPr>
          <w:sz w:val="28"/>
        </w:rPr>
        <w:t>«</w:t>
      </w:r>
      <w:r w:rsidR="00B175B7" w:rsidRPr="00B175B7">
        <w:rPr>
          <w:b/>
          <w:bCs/>
          <w:sz w:val="28"/>
        </w:rPr>
        <w:t>Статья 33</w:t>
      </w:r>
    </w:p>
    <w:p w14:paraId="45F07200" w14:textId="77777777" w:rsidR="00B175B7" w:rsidRDefault="00B175B7">
      <w:pPr>
        <w:tabs>
          <w:tab w:val="left" w:pos="1158"/>
        </w:tabs>
        <w:ind w:firstLine="709"/>
        <w:jc w:val="both"/>
        <w:rPr>
          <w:sz w:val="28"/>
        </w:rPr>
      </w:pPr>
    </w:p>
    <w:p w14:paraId="7DA3C626" w14:textId="53D33756" w:rsidR="000A3741" w:rsidRDefault="00000000">
      <w:pPr>
        <w:tabs>
          <w:tab w:val="left" w:pos="1158"/>
        </w:tabs>
        <w:ind w:firstLine="709"/>
        <w:jc w:val="both"/>
        <w:rPr>
          <w:sz w:val="28"/>
        </w:rPr>
      </w:pPr>
      <w:r>
        <w:rPr>
          <w:sz w:val="28"/>
        </w:rPr>
        <w:t>Лицам, которым государственная пенсия за выслугу лет назначена</w:t>
      </w:r>
      <w:r w:rsidR="00B175B7">
        <w:rPr>
          <w:sz w:val="28"/>
        </w:rPr>
        <w:br/>
      </w:r>
      <w:r>
        <w:rPr>
          <w:sz w:val="28"/>
        </w:rPr>
        <w:t>до 1 июля 2011 года, размер государственной пенсии за выслугу лет перерасчету в связи с изменением с 1 июля 2011 года денежного содержания, учитываемого для определения размера государственной пенсии за выслугу лет, не подлежит. Размер государственной пенсии за выслугу лет таким лицам увеличивается в сроки и в размере повышения денежного содержания муниципальных служащих Белокалитвинского района.</w:t>
      </w:r>
    </w:p>
    <w:p w14:paraId="0EF5A182" w14:textId="63069C29" w:rsidR="000A3741" w:rsidRDefault="00000000">
      <w:pPr>
        <w:tabs>
          <w:tab w:val="left" w:pos="1158"/>
        </w:tabs>
        <w:ind w:firstLine="709"/>
        <w:jc w:val="both"/>
        <w:rPr>
          <w:color w:val="000000" w:themeColor="text1"/>
          <w:sz w:val="28"/>
        </w:rPr>
      </w:pPr>
      <w:r>
        <w:rPr>
          <w:color w:val="000000" w:themeColor="text1"/>
          <w:sz w:val="28"/>
        </w:rPr>
        <w:t>Лицам, которым государственная пенсия за выслугу лет назначена</w:t>
      </w:r>
      <w:r w:rsidR="00B175B7">
        <w:rPr>
          <w:color w:val="000000" w:themeColor="text1"/>
          <w:sz w:val="28"/>
        </w:rPr>
        <w:br/>
      </w:r>
      <w:r>
        <w:rPr>
          <w:color w:val="000000" w:themeColor="text1"/>
          <w:sz w:val="28"/>
        </w:rPr>
        <w:t xml:space="preserve">в период с 01.07.2011 по 26.02.2026, размер государственной пенсии за выслугу лет перерасчету в связи с изменением с 1 января 2023 года денежного содержания, учитываемого для определения размера государственной пенсии </w:t>
      </w:r>
      <w:r w:rsidR="00B175B7">
        <w:rPr>
          <w:color w:val="000000" w:themeColor="text1"/>
          <w:sz w:val="28"/>
        </w:rPr>
        <w:br/>
      </w:r>
      <w:r>
        <w:rPr>
          <w:color w:val="000000" w:themeColor="text1"/>
          <w:sz w:val="28"/>
        </w:rPr>
        <w:t>за выслугу лет, не подлежит.</w:t>
      </w:r>
      <w:r>
        <w:rPr>
          <w:sz w:val="28"/>
        </w:rPr>
        <w:t>».</w:t>
      </w:r>
    </w:p>
    <w:p w14:paraId="0041BBE4" w14:textId="77777777" w:rsidR="000A3741" w:rsidRDefault="000A3741">
      <w:pPr>
        <w:tabs>
          <w:tab w:val="left" w:pos="1158"/>
        </w:tabs>
        <w:ind w:firstLine="709"/>
        <w:jc w:val="both"/>
        <w:rPr>
          <w:sz w:val="28"/>
        </w:rPr>
      </w:pPr>
    </w:p>
    <w:p w14:paraId="74D1CE20" w14:textId="77777777" w:rsidR="000A3741" w:rsidRDefault="000A3741">
      <w:pPr>
        <w:jc w:val="both"/>
        <w:rPr>
          <w:sz w:val="28"/>
        </w:rPr>
      </w:pPr>
    </w:p>
    <w:p w14:paraId="2FDD9997" w14:textId="77777777" w:rsidR="000A3741" w:rsidRDefault="000A3741">
      <w:pPr>
        <w:jc w:val="both"/>
        <w:rPr>
          <w:sz w:val="28"/>
        </w:rPr>
      </w:pPr>
    </w:p>
    <w:p w14:paraId="6359F05F" w14:textId="77777777" w:rsidR="000A3741" w:rsidRDefault="00000000">
      <w:pPr>
        <w:rPr>
          <w:sz w:val="28"/>
        </w:rPr>
      </w:pPr>
      <w:r>
        <w:rPr>
          <w:sz w:val="28"/>
        </w:rPr>
        <w:t>Председатель</w:t>
      </w:r>
    </w:p>
    <w:p w14:paraId="0C676766" w14:textId="77777777" w:rsidR="000A3741" w:rsidRDefault="00000000">
      <w:pPr>
        <w:rPr>
          <w:sz w:val="28"/>
        </w:rPr>
      </w:pPr>
      <w:r>
        <w:rPr>
          <w:sz w:val="28"/>
        </w:rPr>
        <w:t xml:space="preserve">Собрания депутатов – </w:t>
      </w:r>
    </w:p>
    <w:p w14:paraId="75F66355" w14:textId="77777777" w:rsidR="000A3741" w:rsidRDefault="00000000">
      <w:pPr>
        <w:rPr>
          <w:sz w:val="28"/>
        </w:rPr>
      </w:pPr>
      <w:r>
        <w:rPr>
          <w:sz w:val="28"/>
        </w:rPr>
        <w:t>глава Белокалитвинского района                                                        С.В. Харченко</w:t>
      </w:r>
    </w:p>
    <w:p w14:paraId="084DA553" w14:textId="77777777" w:rsidR="000A3741" w:rsidRDefault="000A3741">
      <w:pPr>
        <w:rPr>
          <w:sz w:val="28"/>
        </w:rPr>
      </w:pPr>
    </w:p>
    <w:sectPr w:rsidR="000A3741" w:rsidSect="00424117">
      <w:headerReference w:type="default" r:id="rId8"/>
      <w:pgSz w:w="11905" w:h="16837"/>
      <w:pgMar w:top="1134" w:right="567" w:bottom="1134" w:left="1701"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E5C1" w14:textId="77777777" w:rsidR="008363FD" w:rsidRDefault="008363FD">
      <w:r>
        <w:separator/>
      </w:r>
    </w:p>
  </w:endnote>
  <w:endnote w:type="continuationSeparator" w:id="0">
    <w:p w14:paraId="0F206B4F" w14:textId="77777777" w:rsidR="008363FD" w:rsidRDefault="0083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2020603050405020304"/>
    <w:charset w:val="CC"/>
    <w:family w:val="roman"/>
    <w:pitch w:val="variable"/>
    <w:sig w:usb0="800006FF" w:usb1="0000285A" w:usb2="00000000" w:usb3="00000000" w:csb0="00000015"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FD8A" w14:textId="77777777" w:rsidR="008363FD" w:rsidRDefault="008363FD">
      <w:r>
        <w:separator/>
      </w:r>
    </w:p>
  </w:footnote>
  <w:footnote w:type="continuationSeparator" w:id="0">
    <w:p w14:paraId="7E6C1CAC" w14:textId="77777777" w:rsidR="008363FD" w:rsidRDefault="0083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A585" w14:textId="77777777" w:rsidR="000A3741" w:rsidRDefault="00000000">
    <w:pPr>
      <w:jc w:val="center"/>
    </w:pPr>
    <w:r>
      <w:fldChar w:fldCharType="begin"/>
    </w:r>
    <w:r>
      <w:instrText xml:space="preserve">PAGE </w:instrText>
    </w:r>
    <w:r>
      <w:fldChar w:fldCharType="separate"/>
    </w:r>
    <w:r>
      <w:t xml:space="preserve"> </w:t>
    </w:r>
    <w:r>
      <w:fldChar w:fldCharType="end"/>
    </w:r>
  </w:p>
  <w:p w14:paraId="5ED79B8F" w14:textId="77777777" w:rsidR="000A3741" w:rsidRDefault="000A3741">
    <w:pPr>
      <w:pStyle w:val="ad"/>
      <w:jc w:val="center"/>
      <w:rPr>
        <w:sz w:val="24"/>
      </w:rPr>
    </w:pPr>
  </w:p>
  <w:p w14:paraId="1077984A" w14:textId="77777777" w:rsidR="000A3741" w:rsidRDefault="000A374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B41EC"/>
    <w:multiLevelType w:val="multilevel"/>
    <w:tmpl w:val="B4AA70A0"/>
    <w:lvl w:ilvl="0">
      <w:start w:val="1"/>
      <w:numFmt w:val="decimal"/>
      <w:pStyle w:val="1"/>
      <w:lvlText w:val=""/>
      <w:lvlJc w:val="left"/>
      <w:pPr>
        <w:tabs>
          <w:tab w:val="left" w:pos="432"/>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num w:numId="1" w16cid:durableId="97957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41"/>
    <w:rsid w:val="000A3741"/>
    <w:rsid w:val="00343B79"/>
    <w:rsid w:val="00424117"/>
    <w:rsid w:val="00834512"/>
    <w:rsid w:val="008363FD"/>
    <w:rsid w:val="008965F4"/>
    <w:rsid w:val="009B30F4"/>
    <w:rsid w:val="009E7DD6"/>
    <w:rsid w:val="00A31F8F"/>
    <w:rsid w:val="00B175B7"/>
    <w:rsid w:val="00E178FC"/>
    <w:rsid w:val="00F05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82FD"/>
  <w15:docId w15:val="{0116ABDF-4AEC-410B-9648-86AFEFE9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rPr>
      <w:sz w:val="24"/>
    </w:rPr>
  </w:style>
  <w:style w:type="paragraph" w:styleId="1">
    <w:name w:val="heading 1"/>
    <w:basedOn w:val="a"/>
    <w:next w:val="a"/>
    <w:link w:val="11"/>
    <w:uiPriority w:val="9"/>
    <w:qFormat/>
    <w:pPr>
      <w:keepNext/>
      <w:numPr>
        <w:numId w:val="1"/>
      </w:numPr>
      <w:tabs>
        <w:tab w:val="left" w:pos="2110"/>
      </w:tabs>
      <w:ind w:left="26" w:hanging="26"/>
      <w:outlineLvl w:val="0"/>
    </w:pPr>
    <w:rPr>
      <w:b/>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4"/>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0"/>
    <w:link w:val="3"/>
    <w:rPr>
      <w:rFonts w:ascii="Cambria" w:hAnsi="Cambria"/>
      <w:b/>
      <w:sz w:val="26"/>
    </w:rPr>
  </w:style>
  <w:style w:type="paragraph" w:styleId="a3">
    <w:name w:val="caption"/>
    <w:basedOn w:val="a"/>
    <w:next w:val="a"/>
    <w:link w:val="a4"/>
    <w:pPr>
      <w:jc w:val="center"/>
    </w:pPr>
    <w:rPr>
      <w:b/>
      <w:sz w:val="44"/>
    </w:rPr>
  </w:style>
  <w:style w:type="character" w:customStyle="1" w:styleId="a4">
    <w:name w:val="Название объекта Знак"/>
    <w:basedOn w:val="10"/>
    <w:link w:val="a3"/>
    <w:rPr>
      <w:b/>
      <w:sz w:val="44"/>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5">
    <w:name w:val="Символ нумерации"/>
    <w:link w:val="a6"/>
  </w:style>
  <w:style w:type="character" w:customStyle="1" w:styleId="a6">
    <w:name w:val="Символ нумерации"/>
    <w:link w:val="a5"/>
  </w:style>
  <w:style w:type="paragraph" w:styleId="a7">
    <w:name w:val="Body Text"/>
    <w:basedOn w:val="a"/>
    <w:link w:val="a8"/>
    <w:pPr>
      <w:tabs>
        <w:tab w:val="left" w:pos="1720"/>
      </w:tabs>
      <w:jc w:val="both"/>
    </w:pPr>
  </w:style>
  <w:style w:type="character" w:customStyle="1" w:styleId="a8">
    <w:name w:val="Основной текст Знак"/>
    <w:basedOn w:val="10"/>
    <w:link w:val="a7"/>
    <w:rPr>
      <w:sz w:val="24"/>
    </w:rPr>
  </w:style>
  <w:style w:type="paragraph" w:customStyle="1" w:styleId="14">
    <w:name w:val="Название1"/>
    <w:basedOn w:val="a"/>
    <w:link w:val="15"/>
    <w:pPr>
      <w:spacing w:before="120" w:after="120"/>
    </w:pPr>
    <w:rPr>
      <w:rFonts w:ascii="Arial" w:hAnsi="Arial"/>
      <w:i/>
      <w:sz w:val="20"/>
    </w:rPr>
  </w:style>
  <w:style w:type="character" w:customStyle="1" w:styleId="15">
    <w:name w:val="Название1"/>
    <w:basedOn w:val="10"/>
    <w:link w:val="14"/>
    <w:rPr>
      <w:rFonts w:ascii="Arial" w:hAnsi="Arial"/>
      <w:i/>
      <w:sz w:val="20"/>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styleId="23">
    <w:name w:val="Body Text 2"/>
    <w:basedOn w:val="a"/>
    <w:link w:val="24"/>
    <w:pPr>
      <w:spacing w:after="120" w:line="480" w:lineRule="auto"/>
    </w:pPr>
  </w:style>
  <w:style w:type="character" w:customStyle="1" w:styleId="24">
    <w:name w:val="Основной текст 2 Знак"/>
    <w:basedOn w:val="10"/>
    <w:link w:val="23"/>
    <w:rPr>
      <w:sz w:val="24"/>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9">
    <w:name w:val="Body Text Indent"/>
    <w:basedOn w:val="a"/>
    <w:link w:val="aa"/>
    <w:pPr>
      <w:spacing w:after="120"/>
      <w:ind w:left="283"/>
    </w:pPr>
  </w:style>
  <w:style w:type="character" w:customStyle="1" w:styleId="aa">
    <w:name w:val="Основной текст с отступом Знак"/>
    <w:basedOn w:val="10"/>
    <w:link w:val="a9"/>
    <w:rPr>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styleId="ab">
    <w:name w:val="List"/>
    <w:basedOn w:val="a7"/>
    <w:link w:val="ac"/>
    <w:rPr>
      <w:rFonts w:ascii="Arial" w:hAnsi="Arial"/>
    </w:rPr>
  </w:style>
  <w:style w:type="character" w:customStyle="1" w:styleId="ac">
    <w:name w:val="Список Знак"/>
    <w:basedOn w:val="a8"/>
    <w:link w:val="ab"/>
    <w:rPr>
      <w:rFonts w:ascii="Arial" w:hAnsi="Arial"/>
      <w:sz w:val="24"/>
    </w:rPr>
  </w:style>
  <w:style w:type="paragraph" w:customStyle="1" w:styleId="25">
    <w:name w:val="Указатель2"/>
    <w:basedOn w:val="a"/>
    <w:link w:val="26"/>
    <w:rPr>
      <w:rFonts w:ascii="Arial" w:hAnsi="Arial"/>
    </w:rPr>
  </w:style>
  <w:style w:type="character" w:customStyle="1" w:styleId="26">
    <w:name w:val="Указатель2"/>
    <w:basedOn w:val="10"/>
    <w:link w:val="25"/>
    <w:rPr>
      <w:rFonts w:ascii="Arial" w:hAnsi="Arial"/>
      <w:sz w:val="24"/>
    </w:rPr>
  </w:style>
  <w:style w:type="paragraph" w:customStyle="1" w:styleId="WW8Num1z0">
    <w:name w:val="WW8Num1z0"/>
    <w:link w:val="WW8Num1z00"/>
  </w:style>
  <w:style w:type="character" w:customStyle="1" w:styleId="WW8Num1z00">
    <w:name w:val="WW8Num1z0"/>
    <w:link w:val="WW8Num1z0"/>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character" w:customStyle="1" w:styleId="50">
    <w:name w:val="Заголовок 5 Знак"/>
    <w:link w:val="5"/>
    <w:rPr>
      <w:rFonts w:ascii="XO Thames" w:hAnsi="XO Thames"/>
      <w:b/>
      <w:sz w:val="22"/>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styleId="ad">
    <w:name w:val="header"/>
    <w:basedOn w:val="a"/>
    <w:link w:val="ae"/>
    <w:pPr>
      <w:tabs>
        <w:tab w:val="center" w:pos="4536"/>
        <w:tab w:val="right" w:pos="9072"/>
      </w:tabs>
    </w:pPr>
    <w:rPr>
      <w:sz w:val="28"/>
    </w:rPr>
  </w:style>
  <w:style w:type="character" w:customStyle="1" w:styleId="ae">
    <w:name w:val="Верхний колонтитул Знак"/>
    <w:basedOn w:val="10"/>
    <w:link w:val="ad"/>
    <w:rPr>
      <w:sz w:val="28"/>
    </w:rPr>
  </w:style>
  <w:style w:type="paragraph" w:customStyle="1" w:styleId="18">
    <w:name w:val="Основной шрифт абзаца1"/>
    <w:link w:val="19"/>
  </w:style>
  <w:style w:type="character" w:customStyle="1" w:styleId="19">
    <w:name w:val="Основной шрифт абзаца1"/>
    <w:link w:val="18"/>
  </w:style>
  <w:style w:type="paragraph" w:customStyle="1" w:styleId="1a">
    <w:name w:val="Обычный1"/>
    <w:link w:val="1b"/>
    <w:rPr>
      <w:sz w:val="24"/>
    </w:rPr>
  </w:style>
  <w:style w:type="character" w:customStyle="1" w:styleId="1b">
    <w:name w:val="Обычный1"/>
    <w:link w:val="1a"/>
    <w:rPr>
      <w:sz w:val="24"/>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character" w:customStyle="1" w:styleId="11">
    <w:name w:val="Заголовок 1 Знак"/>
    <w:basedOn w:val="10"/>
    <w:link w:val="1"/>
    <w:rPr>
      <w:b/>
      <w:sz w:val="24"/>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33">
    <w:name w:val="Гиперссылка3"/>
    <w:link w:val="af"/>
    <w:rPr>
      <w:color w:val="0000FF"/>
      <w:u w:val="single"/>
    </w:rPr>
  </w:style>
  <w:style w:type="character" w:styleId="af">
    <w:name w:val="Hyperlink"/>
    <w:link w:val="3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29">
    <w:name w:val="Основной шрифт абзаца2"/>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a">
    <w:name w:val="Название2"/>
    <w:basedOn w:val="a"/>
    <w:link w:val="2b"/>
    <w:pPr>
      <w:spacing w:before="120" w:after="120"/>
    </w:pPr>
    <w:rPr>
      <w:rFonts w:ascii="Arial" w:hAnsi="Arial"/>
      <w:i/>
      <w:sz w:val="20"/>
    </w:rPr>
  </w:style>
  <w:style w:type="character" w:customStyle="1" w:styleId="2b">
    <w:name w:val="Название2"/>
    <w:basedOn w:val="10"/>
    <w:link w:val="2a"/>
    <w:rPr>
      <w:rFonts w:ascii="Arial" w:hAnsi="Arial"/>
      <w:i/>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e">
    <w:name w:val="Обычный1"/>
    <w:link w:val="1f"/>
    <w:rPr>
      <w:sz w:val="24"/>
    </w:rPr>
  </w:style>
  <w:style w:type="character" w:customStyle="1" w:styleId="1f">
    <w:name w:val="Обычный1"/>
    <w:link w:val="1e"/>
    <w:rPr>
      <w:sz w:val="24"/>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2c">
    <w:name w:val="Основной шрифт абзаца2"/>
    <w:link w:val="2d"/>
  </w:style>
  <w:style w:type="character" w:customStyle="1" w:styleId="2d">
    <w:name w:val="Основной шрифт абзаца2"/>
    <w:link w:val="2c"/>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af0">
    <w:name w:val="List Paragraph"/>
    <w:basedOn w:val="a"/>
    <w:link w:val="af1"/>
    <w:pPr>
      <w:spacing w:after="200" w:line="276" w:lineRule="auto"/>
      <w:ind w:left="720"/>
      <w:contextualSpacing/>
    </w:pPr>
    <w:rPr>
      <w:rFonts w:ascii="Calibri" w:hAnsi="Calibri"/>
      <w:sz w:val="22"/>
    </w:rPr>
  </w:style>
  <w:style w:type="character" w:customStyle="1" w:styleId="af1">
    <w:name w:val="Абзац списка Знак"/>
    <w:basedOn w:val="10"/>
    <w:link w:val="af0"/>
    <w:rPr>
      <w:rFonts w:ascii="Calibri" w:hAnsi="Calibri"/>
      <w:sz w:val="22"/>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af2">
    <w:name w:val="Balloon Text"/>
    <w:basedOn w:val="a"/>
    <w:link w:val="af3"/>
    <w:rPr>
      <w:rFonts w:ascii="Tahoma" w:hAnsi="Tahoma"/>
      <w:sz w:val="16"/>
    </w:rPr>
  </w:style>
  <w:style w:type="character" w:customStyle="1" w:styleId="af3">
    <w:name w:val="Текст выноски Знак"/>
    <w:basedOn w:val="10"/>
    <w:link w:val="af2"/>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8Num2z0">
    <w:name w:val="WW8Num2z0"/>
    <w:link w:val="WW8Num2z00"/>
  </w:style>
  <w:style w:type="character" w:customStyle="1" w:styleId="WW8Num2z00">
    <w:name w:val="WW8Num2z0"/>
    <w:link w:val="WW8Num2z0"/>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styleId="af4">
    <w:name w:val="footer"/>
    <w:basedOn w:val="a"/>
    <w:link w:val="af5"/>
    <w:pPr>
      <w:tabs>
        <w:tab w:val="center" w:pos="4677"/>
        <w:tab w:val="right" w:pos="9355"/>
      </w:tabs>
    </w:pPr>
  </w:style>
  <w:style w:type="character" w:customStyle="1" w:styleId="af5">
    <w:name w:val="Нижний колонтитул Знак"/>
    <w:basedOn w:val="10"/>
    <w:link w:val="af4"/>
    <w:rPr>
      <w:sz w:val="24"/>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36">
    <w:name w:val="Основной шрифт абзаца3"/>
    <w:link w:val="37"/>
  </w:style>
  <w:style w:type="character" w:customStyle="1" w:styleId="37">
    <w:name w:val="Основной шрифт абзаца3"/>
    <w:link w:val="36"/>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1f0">
    <w:name w:val="Заголовок1"/>
    <w:basedOn w:val="10"/>
    <w:rPr>
      <w:rFonts w:ascii="Arial" w:hAnsi="Arial"/>
      <w:sz w:val="28"/>
    </w:rPr>
  </w:style>
  <w:style w:type="character" w:customStyle="1" w:styleId="af9">
    <w:name w:val="Заголовок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1">
    <w:name w:val="Указатель1"/>
    <w:basedOn w:val="a"/>
    <w:link w:val="1f2"/>
    <w:rPr>
      <w:rFonts w:ascii="Arial" w:hAnsi="Arial"/>
    </w:rPr>
  </w:style>
  <w:style w:type="character" w:customStyle="1" w:styleId="1f2">
    <w:name w:val="Указатель1"/>
    <w:basedOn w:val="10"/>
    <w:link w:val="1f1"/>
    <w:rPr>
      <w:rFonts w:ascii="Arial" w:hAnsi="Arial"/>
      <w:sz w:val="24"/>
    </w:rPr>
  </w:style>
  <w:style w:type="paragraph" w:customStyle="1" w:styleId="38">
    <w:name w:val="Основной шрифт абзаца3"/>
    <w:link w:val="39"/>
  </w:style>
  <w:style w:type="character" w:customStyle="1" w:styleId="39">
    <w:name w:val="Основной шрифт абзаца3"/>
    <w:link w:val="38"/>
  </w:style>
  <w:style w:type="character" w:customStyle="1" w:styleId="20">
    <w:name w:val="Заголовок 2 Знак"/>
    <w:basedOn w:val="10"/>
    <w:link w:val="2"/>
    <w:rPr>
      <w:rFonts w:ascii="Cambria" w:hAnsi="Cambria"/>
      <w:b/>
      <w:i/>
      <w:sz w:val="28"/>
    </w:rPr>
  </w:style>
  <w:style w:type="paragraph" w:customStyle="1" w:styleId="1f3">
    <w:name w:val="Обычный1"/>
    <w:link w:val="1f4"/>
    <w:rPr>
      <w:sz w:val="24"/>
    </w:rPr>
  </w:style>
  <w:style w:type="character" w:customStyle="1" w:styleId="1f4">
    <w:name w:val="Обычный1"/>
    <w:link w:val="1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1609</Words>
  <Characters>9176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Собрание</dc:creator>
  <cp:lastModifiedBy>Собрание Собрание</cp:lastModifiedBy>
  <cp:revision>4</cp:revision>
  <cp:lastPrinted>2026-02-25T08:30:00Z</cp:lastPrinted>
  <dcterms:created xsi:type="dcterms:W3CDTF">2026-02-25T12:05:00Z</dcterms:created>
  <dcterms:modified xsi:type="dcterms:W3CDTF">2026-02-25T12:37:00Z</dcterms:modified>
</cp:coreProperties>
</file>