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Toc184354819"/>
      <w:r w:rsidRPr="00FD15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/проект, 1-ая редакция/</w:t>
      </w:r>
    </w:p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1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МЕСТНЫЕ НОРМАТИВЫ</w:t>
      </w:r>
    </w:p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1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ГРАДОСТРОИТЕЛЬНОГО ПРОЕКТИРОВАНИЯ</w:t>
      </w:r>
    </w:p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428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1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СИНЕГОРСКОГО СЕЛЬСКОГО ПОСЕЛЕНИЯ</w:t>
      </w:r>
    </w:p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1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БЕЛОКАЛИТВИНСКОГО РАЙОНА</w:t>
      </w:r>
    </w:p>
    <w:p w:rsidR="00FD15CF" w:rsidRPr="00FD15CF" w:rsidRDefault="00FD15CF" w:rsidP="00FD15C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1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C72A63" w:rsidRPr="00C72A63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86673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</w:t>
            </w:r>
            <w:r w:rsidR="00CE6F11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Синегорское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3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CE6F11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Синегорское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CE6F11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Синегорское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CE6F11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Синегорское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0B0BCA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7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_Toc194866770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D15C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86673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CE6F11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Синегорское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86673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CE6F1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Синегорского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392326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86674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CE6F11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Синегорское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86674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86674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0B0BCA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0B0BCA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0B0BCA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86674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86674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392326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86674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86674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86674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86674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86674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86675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86675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86675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86675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86675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0B0BCA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0B0BCA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0B0BCA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0B0BCA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0B0BCA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0B0BCA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86675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CE6F11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Синегорское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86675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bookmarkStart w:id="39" w:name="_Toc194866757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CE6F11" w:rsidRPr="00A33625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Синегорское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 расположено на юге Белокалитвинского района Ростовской области и граничит на севере с Богураевским сельским поселением, на востоке с Краснодонецким сельским поселением, на юге с Усть-Донецким районом, на юго-западе и западе с Грушево-Дубовским сельским поселением.</w:t>
      </w:r>
    </w:p>
    <w:p w:rsidR="00CE6F11" w:rsidRPr="00A33625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Синегорского сельского поселения протекает река Северский Донец.</w:t>
      </w:r>
    </w:p>
    <w:p w:rsidR="00CE6F11" w:rsidRPr="00F5356F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199 км., до г. Белая Калитва 42 км.</w:t>
      </w:r>
    </w:p>
    <w:p w:rsidR="00CE6F11" w:rsidRPr="00971D5A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территории 28 200</w:t>
      </w:r>
      <w:r w:rsidRPr="006B3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6 902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8 населённых пунктов: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п. Синегорский (</w:t>
      </w:r>
      <w:r w:rsidRPr="00E54D24">
        <w:rPr>
          <w:rFonts w:ascii="Times New Roman" w:hAnsi="Times New Roman"/>
          <w:sz w:val="28"/>
          <w:szCs w:val="28"/>
        </w:rPr>
        <w:t>5 114</w:t>
      </w:r>
      <w:r w:rsidRPr="00E54D24">
        <w:rPr>
          <w:rStyle w:val="afd"/>
          <w:rFonts w:ascii="Times New Roman" w:hAnsi="Times New Roman"/>
          <w:sz w:val="28"/>
          <w:szCs w:val="28"/>
        </w:rPr>
        <w:footnoteReference w:id="2"/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2) п. Виноградный (</w:t>
      </w:r>
      <w:r>
        <w:rPr>
          <w:rFonts w:ascii="Times New Roman" w:hAnsi="Times New Roman"/>
          <w:sz w:val="28"/>
          <w:szCs w:val="28"/>
        </w:rPr>
        <w:t xml:space="preserve">574 </w:t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3) п. Углекаменный (</w:t>
      </w:r>
      <w:r>
        <w:rPr>
          <w:rFonts w:ascii="Times New Roman" w:hAnsi="Times New Roman"/>
          <w:sz w:val="28"/>
          <w:szCs w:val="28"/>
        </w:rPr>
        <w:t xml:space="preserve">416 </w:t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4) п. Ясногорка (</w:t>
      </w:r>
      <w:r>
        <w:rPr>
          <w:rFonts w:ascii="Times New Roman" w:hAnsi="Times New Roman"/>
          <w:sz w:val="28"/>
          <w:szCs w:val="28"/>
        </w:rPr>
        <w:t>311 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5) п. Мельничный (</w:t>
      </w:r>
      <w:r>
        <w:rPr>
          <w:rFonts w:ascii="Times New Roman" w:hAnsi="Times New Roman"/>
          <w:sz w:val="28"/>
          <w:szCs w:val="28"/>
        </w:rPr>
        <w:t xml:space="preserve">265 </w:t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6) х. Западный (</w:t>
      </w:r>
      <w:r>
        <w:rPr>
          <w:rFonts w:ascii="Times New Roman" w:hAnsi="Times New Roman"/>
          <w:sz w:val="28"/>
          <w:szCs w:val="28"/>
        </w:rPr>
        <w:t xml:space="preserve">46 </w:t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Pr="00E54D24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7) х. Почтовый (</w:t>
      </w:r>
      <w:r>
        <w:rPr>
          <w:rFonts w:ascii="Times New Roman" w:hAnsi="Times New Roman"/>
          <w:sz w:val="28"/>
          <w:szCs w:val="28"/>
        </w:rPr>
        <w:t xml:space="preserve">45 </w:t>
      </w:r>
      <w:r w:rsidRPr="00E54D24">
        <w:rPr>
          <w:rFonts w:ascii="Times New Roman" w:hAnsi="Times New Roman"/>
          <w:sz w:val="28"/>
          <w:szCs w:val="28"/>
        </w:rPr>
        <w:t>чел.);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D24">
        <w:rPr>
          <w:rFonts w:ascii="Times New Roman" w:hAnsi="Times New Roman"/>
          <w:sz w:val="28"/>
          <w:szCs w:val="28"/>
        </w:rPr>
        <w:t>8) п.</w:t>
      </w:r>
      <w:r w:rsidRPr="00E54D24">
        <w:t xml:space="preserve"> </w:t>
      </w:r>
      <w:r w:rsidRPr="00E54D24">
        <w:rPr>
          <w:rFonts w:ascii="Times New Roman" w:hAnsi="Times New Roman"/>
          <w:sz w:val="28"/>
          <w:szCs w:val="28"/>
        </w:rPr>
        <w:t>Боярышниковый (</w:t>
      </w:r>
      <w:r>
        <w:rPr>
          <w:rFonts w:ascii="Times New Roman" w:hAnsi="Times New Roman"/>
          <w:sz w:val="28"/>
          <w:szCs w:val="28"/>
        </w:rPr>
        <w:t>25 чел.).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фельдшерско-акушерских пунктов 4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6 ед. на 177 мест;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3 ед. на 634 мест;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стадионов 1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4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1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6 ед.;</w:t>
      </w:r>
    </w:p>
    <w:p w:rsid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5 ед.;</w:t>
      </w:r>
    </w:p>
    <w:p w:rsidR="00CE6F11" w:rsidRPr="00CE6F11" w:rsidRDefault="00CE6F11" w:rsidP="00CE6F1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культовых учреждений 1 ед.</w:t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lastRenderedPageBreak/>
        <w:t>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392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</w:t>
            </w:r>
            <w:bookmarkStart w:id="40" w:name="_GoBack"/>
            <w:bookmarkEnd w:id="40"/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86675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86675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О физической культуре и спорте в Российской 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86676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86676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86676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86676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86676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Показатели газоснабжения, включённые в основную часть настоящих Нормативов подготовлены на основании СП 62.13330.2011 «Свод правил. 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86676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86676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86676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86676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CE6F11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Синегорское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86676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86677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CA" w:rsidRDefault="000B0BCA">
      <w:pPr>
        <w:spacing w:after="0" w:line="240" w:lineRule="auto"/>
      </w:pPr>
      <w:r>
        <w:separator/>
      </w:r>
    </w:p>
  </w:endnote>
  <w:endnote w:type="continuationSeparator" w:id="0">
    <w:p w:rsidR="000B0BCA" w:rsidRDefault="000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26">
          <w:rPr>
            <w:noProof/>
          </w:rPr>
          <w:t>29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CA" w:rsidRDefault="000B0BCA">
      <w:pPr>
        <w:spacing w:after="0" w:line="240" w:lineRule="auto"/>
      </w:pPr>
      <w:r>
        <w:separator/>
      </w:r>
    </w:p>
  </w:footnote>
  <w:footnote w:type="continuationSeparator" w:id="0">
    <w:p w:rsidR="000B0BCA" w:rsidRDefault="000B0BCA">
      <w:pPr>
        <w:spacing w:after="0" w:line="240" w:lineRule="auto"/>
      </w:pPr>
      <w:r>
        <w:continuationSeparator/>
      </w:r>
    </w:p>
  </w:footnote>
  <w:footnote w:id="1">
    <w:p w:rsidR="00CE6F11" w:rsidRDefault="00CE6F11" w:rsidP="00CE6F11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CE6F11" w:rsidRDefault="00CE6F11" w:rsidP="00CE6F11">
      <w:pPr>
        <w:pStyle w:val="afb"/>
      </w:pPr>
      <w:r w:rsidRPr="00E54D24">
        <w:rPr>
          <w:rStyle w:val="afd"/>
        </w:rPr>
        <w:footnoteRef/>
      </w:r>
      <w:r w:rsidRPr="00E54D24">
        <w:t xml:space="preserve"> Численность</w:t>
      </w:r>
      <w:r>
        <w:t xml:space="preserve"> населения заимствована из паспорта муниципального образования «Синегорское 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0BCA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326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E6F11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1AF8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15CF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E6F10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DB3"/>
  <w15:docId w15:val="{3A360408-C925-4F1E-8C3B-49393364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3AE3-13B5-433E-A166-468AE645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10838</Words>
  <Characters>61780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2025-04-07T09:51:00Z</cp:lastPrinted>
  <dcterms:created xsi:type="dcterms:W3CDTF">2025-04-07T09:52:00Z</dcterms:created>
  <dcterms:modified xsi:type="dcterms:W3CDTF">2025-04-14T09:34:00Z</dcterms:modified>
</cp:coreProperties>
</file>