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drawing>
          <wp:inline>
            <wp:extent cx="572770" cy="72517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572770" cy="7251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РОССИЙСКАЯ ФЕДЕРАЦИЯ</w:t>
      </w:r>
    </w:p>
    <w:p w14:paraId="03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РОСТОВСКАЯ ОБЛАСТЬ</w:t>
      </w:r>
    </w:p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МУНИЦИПАЛ</w:t>
      </w:r>
      <w:bookmarkStart w:id="1" w:name="_GoBack"/>
      <w:bookmarkEnd w:id="1"/>
      <w:r>
        <w:rPr>
          <w:rFonts w:ascii="Tinos" w:hAnsi="Tinos"/>
          <w:sz w:val="28"/>
        </w:rPr>
        <w:t>ЬНОЕ ОБРАЗОВАНИЕ</w:t>
      </w:r>
    </w:p>
    <w:p w14:paraId="05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«БЕЛОКАЛИТВИНСКИЙ РАЙОН»</w:t>
      </w:r>
    </w:p>
    <w:p w14:paraId="06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АДМИНИСТРАЦИЯ БЕЛОКАЛИТВИНСКОГО РАЙОНА</w:t>
      </w:r>
    </w:p>
    <w:p w14:paraId="07000000">
      <w:pPr>
        <w:pStyle w:val="Style_1"/>
        <w:widowControl w:val="1"/>
        <w:spacing w:after="0" w:before="0" w:line="360" w:lineRule="auto"/>
        <w:ind/>
        <w:jc w:val="center"/>
        <w:rPr>
          <w:rFonts w:ascii="Tinos" w:hAnsi="Tinos"/>
          <w:b w:val="1"/>
          <w:sz w:val="28"/>
        </w:rPr>
      </w:pPr>
      <w:r>
        <w:rPr>
          <w:rFonts w:ascii="Tinos" w:hAnsi="Tinos"/>
          <w:b w:val="1"/>
          <w:sz w:val="28"/>
        </w:rPr>
        <w:t>ПОСТАНОВЛЕНИЕ</w:t>
      </w:r>
    </w:p>
    <w:p w14:paraId="08000000">
      <w:pPr>
        <w:pStyle w:val="Style_1"/>
        <w:widowControl w:val="1"/>
        <w:spacing w:after="0" w:before="0" w:line="36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от ______. 2026 № ___</w:t>
      </w:r>
    </w:p>
    <w:p w14:paraId="09000000">
      <w:pPr>
        <w:pStyle w:val="Style_1"/>
        <w:widowControl w:val="1"/>
        <w:spacing w:after="0" w:before="0" w:line="360" w:lineRule="auto"/>
        <w:ind/>
        <w:jc w:val="center"/>
        <w:rPr>
          <w:rFonts w:ascii="Tinos" w:hAnsi="Tinos"/>
          <w:sz w:val="28"/>
        </w:rPr>
      </w:pPr>
      <w:r>
        <w:rPr>
          <w:rFonts w:ascii="Tinos" w:hAnsi="Tinos"/>
          <w:sz w:val="28"/>
        </w:rPr>
        <w:t>г. Белая Калитва</w:t>
      </w:r>
    </w:p>
    <w:p w14:paraId="0A000000">
      <w:pPr>
        <w:pStyle w:val="Style_1"/>
        <w:widowControl w:val="1"/>
        <w:tabs>
          <w:tab w:leader="none" w:pos="567" w:val="left"/>
          <w:tab w:leader="none" w:pos="708" w:val="clear"/>
        </w:tabs>
        <w:spacing w:after="0" w:before="0" w:line="240" w:lineRule="auto"/>
        <w:ind w:right="-1"/>
        <w:jc w:val="center"/>
        <w:rPr>
          <w:rFonts w:ascii="Tinos" w:hAnsi="Tinos"/>
        </w:rPr>
      </w:pPr>
      <w:r>
        <w:rPr>
          <w:rFonts w:ascii="Tinos" w:hAnsi="Tinos"/>
          <w:b w:val="1"/>
          <w:sz w:val="28"/>
        </w:rPr>
        <w:t>О внесении изменений в постановление Администрации</w:t>
      </w:r>
    </w:p>
    <w:p w14:paraId="0B000000">
      <w:pPr>
        <w:pStyle w:val="Style_1"/>
        <w:widowControl w:val="1"/>
        <w:tabs>
          <w:tab w:leader="none" w:pos="567" w:val="left"/>
          <w:tab w:leader="none" w:pos="708" w:val="clear"/>
        </w:tabs>
        <w:spacing w:after="0" w:before="0" w:line="240" w:lineRule="auto"/>
        <w:ind w:right="-1"/>
        <w:jc w:val="center"/>
        <w:rPr>
          <w:rFonts w:ascii="Tinos" w:hAnsi="Tinos"/>
        </w:rPr>
      </w:pPr>
      <w:r>
        <w:rPr>
          <w:rFonts w:ascii="Tinos" w:hAnsi="Tinos"/>
          <w:b w:val="1"/>
          <w:sz w:val="28"/>
        </w:rPr>
        <w:t>Белокалитвинского района от 03.07.2017 №752</w:t>
      </w:r>
    </w:p>
    <w:p w14:paraId="0C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nos" w:hAnsi="Tinos"/>
          <w:sz w:val="20"/>
        </w:rPr>
      </w:pPr>
    </w:p>
    <w:p w14:paraId="0D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26.12.2024 № 494-ФЗ «О внесении изменений в отдельные законодательные акты Российской Федерации», с целью приведения в соответствие с действующим законодательством, Администрация Белокалитвинского района </w:t>
      </w:r>
      <w:r>
        <w:rPr>
          <w:rFonts w:ascii="Tinos" w:hAnsi="Tinos"/>
          <w:b w:val="1"/>
          <w:sz w:val="28"/>
        </w:rPr>
        <w:t>постановляет</w:t>
      </w:r>
      <w:r>
        <w:rPr>
          <w:rFonts w:ascii="Tinos" w:hAnsi="Tinos"/>
          <w:sz w:val="28"/>
        </w:rPr>
        <w:t>:</w:t>
      </w:r>
    </w:p>
    <w:p w14:paraId="0E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nos" w:hAnsi="Tinos"/>
          <w:sz w:val="28"/>
        </w:rPr>
      </w:pPr>
    </w:p>
    <w:p w14:paraId="0F000000">
      <w:pPr>
        <w:pStyle w:val="Style_2"/>
        <w:widowControl w:val="1"/>
        <w:numPr>
          <w:ilvl w:val="0"/>
          <w:numId w:val="1"/>
        </w:numPr>
        <w:tabs>
          <w:tab w:leader="none" w:pos="708" w:val="clear"/>
          <w:tab w:leader="none" w:pos="993" w:val="left"/>
        </w:tabs>
        <w:spacing w:after="0" w:before="0" w:line="240" w:lineRule="auto"/>
        <w:ind w:firstLine="709" w:left="0" w:right="-1"/>
        <w:contextualSpacing w:val="1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Внести в приложение к постановлению Администрации Белокалитвинского района от 03.07.2017 №752 «Об утверждении Административного регламента предоставления муниципальной услуги «Постановка на учет граждан в качестве нуждающихся в жилых помещениях, предоставляемых по договорам социального найма» следующие изменения:</w:t>
      </w:r>
    </w:p>
    <w:p w14:paraId="10000000">
      <w:pPr>
        <w:pStyle w:val="Style_1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 xml:space="preserve">1.1. </w:t>
      </w:r>
      <w:r>
        <w:rPr>
          <w:rFonts w:ascii="Tinos" w:hAnsi="Tinos"/>
          <w:color w:val="000000"/>
          <w:sz w:val="28"/>
        </w:rPr>
        <w:t>Пункт</w:t>
      </w:r>
      <w:r>
        <w:rPr>
          <w:rFonts w:ascii="Tinos" w:hAnsi="Tinos"/>
          <w:color w:val="000000"/>
          <w:sz w:val="28"/>
        </w:rPr>
        <w:t xml:space="preserve"> 1.4 изложить</w:t>
      </w:r>
      <w:r>
        <w:rPr>
          <w:rFonts w:ascii="Tinos" w:hAnsi="Tinos"/>
          <w:color w:val="000000"/>
          <w:sz w:val="28"/>
        </w:rPr>
        <w:t xml:space="preserve"> в следующей редакции:</w:t>
      </w:r>
    </w:p>
    <w:p w14:paraId="11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«Контактные координаты и график работы:</w:t>
      </w:r>
    </w:p>
    <w:p w14:paraId="12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Служба</w:t>
      </w:r>
      <w:r>
        <w:rPr>
          <w:rFonts w:ascii="Tinos" w:hAnsi="Tinos"/>
          <w:sz w:val="28"/>
        </w:rPr>
        <w:t xml:space="preserve"> реализации жилищных программ Администрации Белокалитвинского района: </w:t>
      </w:r>
    </w:p>
    <w:p w14:paraId="13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почтовый адрес: 347042, Ростовская область, г. Белая Калитва, ул. Чернышевского, 8;</w:t>
      </w:r>
    </w:p>
    <w:p w14:paraId="14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адрес официального Интернет-сайта Администрации Белокалитвинского района: http://www.</w:t>
      </w:r>
      <w:r>
        <w:rPr>
          <w:rFonts w:ascii="Tinos" w:hAnsi="Tinos"/>
          <w:sz w:val="28"/>
        </w:rPr>
        <w:t>kalitva</w:t>
      </w:r>
      <w:r>
        <w:rPr>
          <w:rFonts w:ascii="Tinos" w:hAnsi="Tinos"/>
          <w:sz w:val="28"/>
        </w:rPr>
        <w:t>-</w:t>
      </w:r>
      <w:r>
        <w:rPr>
          <w:rFonts w:ascii="Tinos" w:hAnsi="Tinos"/>
          <w:sz w:val="28"/>
        </w:rPr>
        <w:t>land</w:t>
      </w:r>
      <w:r>
        <w:rPr>
          <w:rFonts w:ascii="Tinos" w:hAnsi="Tinos"/>
          <w:sz w:val="28"/>
        </w:rPr>
        <w:t>.</w:t>
      </w:r>
      <w:r>
        <w:rPr>
          <w:rFonts w:ascii="Tinos" w:hAnsi="Tinos"/>
          <w:sz w:val="28"/>
        </w:rPr>
        <w:t>ru</w:t>
      </w:r>
      <w:r>
        <w:rPr>
          <w:rFonts w:ascii="Tinos" w:hAnsi="Tinos"/>
          <w:sz w:val="28"/>
        </w:rPr>
        <w:t>;</w:t>
      </w:r>
    </w:p>
    <w:p w14:paraId="15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номер контактного телефона:</w:t>
      </w:r>
      <w:r>
        <w:rPr>
          <w:rFonts w:ascii="Tinos" w:hAnsi="Tinos"/>
          <w:b w:val="1"/>
          <w:sz w:val="28"/>
        </w:rPr>
        <w:t xml:space="preserve"> </w:t>
      </w:r>
      <w:r>
        <w:rPr>
          <w:rFonts w:ascii="Tinos" w:hAnsi="Tinos"/>
          <w:sz w:val="28"/>
        </w:rPr>
        <w:t>8 (86383) 2-56-45;</w:t>
      </w:r>
    </w:p>
    <w:p w14:paraId="16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tbl>
      <w:tblPr>
        <w:tblStyle w:val="Style_3"/>
        <w:tblW w:type="auto" w:w="0"/>
        <w:tblInd w:type="dxa" w:w="1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297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1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297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30"/>
              <w:left w:type="dxa" w:w="30"/>
              <w:bottom w:type="dxa" w:w="30"/>
              <w:right w:type="dxa" w:w="30"/>
            </w:tcMar>
          </w:tcPr>
          <w:p w14:paraId="2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  <w:sz w:val="28"/>
              </w:rPr>
            </w:pPr>
            <w:r>
              <w:rPr>
                <w:rFonts w:ascii="Tinos" w:hAnsi="Tinos"/>
                <w:sz w:val="28"/>
              </w:rPr>
              <w:t>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–13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48</w:t>
            </w:r>
          </w:p>
        </w:tc>
      </w:tr>
    </w:tbl>
    <w:p w14:paraId="29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Информация о местонахождении, контактном телефоне (телефонах для справок, консультаций), адресе электронной почты и режиме работы многофункционального центра: </w:t>
      </w:r>
    </w:p>
    <w:p w14:paraId="2A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почтовый адрес: ул. Космонавтов, д. 3, г. Белая Калитва, </w:t>
      </w:r>
    </w:p>
    <w:p w14:paraId="2B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Белокалитвинский район, Ростовская область, 347045 </w:t>
      </w:r>
    </w:p>
    <w:p w14:paraId="2C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Тел./факс:8(86383) 2-01-78;</w:t>
      </w:r>
    </w:p>
    <w:p w14:paraId="2D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электронной почты: </w:t>
      </w:r>
      <w:r>
        <w:rPr>
          <w:rFonts w:ascii="Tinos" w:hAnsi="Tinos"/>
          <w:sz w:val="28"/>
        </w:rPr>
        <w:t>mfc_bk@donland.ru;</w:t>
      </w:r>
    </w:p>
    <w:p w14:paraId="2E000000">
      <w:pPr>
        <w:widowControl w:val="1"/>
        <w:spacing w:after="0" w:line="240" w:lineRule="auto"/>
        <w:ind w:firstLine="720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адрес официального сайта сети </w:t>
      </w:r>
      <w:r>
        <w:rPr>
          <w:rFonts w:ascii="Tinos" w:hAnsi="Tinos"/>
          <w:color w:val="000000"/>
          <w:sz w:val="28"/>
        </w:rPr>
        <w:t>Многофункциональных центров Ростовской области</w:t>
      </w:r>
      <w:r>
        <w:rPr>
          <w:rFonts w:ascii="Tinos" w:hAnsi="Tinos"/>
          <w:sz w:val="28"/>
        </w:rPr>
        <w:t xml:space="preserve">: </w:t>
      </w:r>
      <w:r>
        <w:rPr>
          <w:rStyle w:val="Style_4_ch"/>
          <w:rFonts w:ascii="Tinos" w:hAnsi="Tinos"/>
          <w:sz w:val="28"/>
          <w:u w:val="none"/>
        </w:rPr>
        <w:fldChar w:fldCharType="begin"/>
      </w:r>
      <w:r>
        <w:rPr>
          <w:rStyle w:val="Style_4_ch"/>
          <w:rFonts w:ascii="Tinos" w:hAnsi="Tinos"/>
          <w:sz w:val="28"/>
          <w:u w:val="none"/>
        </w:rPr>
        <w:instrText>HYPERLINK "http://www.mfc"</w:instrText>
      </w:r>
      <w:r>
        <w:rPr>
          <w:rStyle w:val="Style_4_ch"/>
          <w:rFonts w:ascii="Tinos" w:hAnsi="Tinos"/>
          <w:sz w:val="28"/>
          <w:u w:val="none"/>
        </w:rPr>
        <w:fldChar w:fldCharType="separate"/>
      </w:r>
      <w:r>
        <w:rPr>
          <w:rStyle w:val="Style_4_ch"/>
          <w:rFonts w:ascii="Tinos" w:hAnsi="Tinos"/>
          <w:sz w:val="28"/>
          <w:u w:val="none"/>
        </w:rPr>
        <w:t>http</w:t>
      </w:r>
      <w:r>
        <w:rPr>
          <w:rStyle w:val="Style_4_ch"/>
          <w:rFonts w:ascii="Tinos" w:hAnsi="Tinos"/>
          <w:sz w:val="28"/>
          <w:u w:val="none"/>
        </w:rPr>
        <w:t>://</w:t>
      </w:r>
      <w:r>
        <w:rPr>
          <w:rStyle w:val="Style_4_ch"/>
          <w:rFonts w:ascii="Tinos" w:hAnsi="Tinos"/>
          <w:sz w:val="28"/>
          <w:u w:val="none"/>
        </w:rPr>
        <w:t>www</w:t>
      </w:r>
      <w:r>
        <w:rPr>
          <w:rStyle w:val="Style_4_ch"/>
          <w:rFonts w:ascii="Tinos" w:hAnsi="Tinos"/>
          <w:sz w:val="28"/>
          <w:u w:val="none"/>
        </w:rPr>
        <w:t>.</w:t>
      </w:r>
      <w:r>
        <w:rPr>
          <w:rStyle w:val="Style_4_ch"/>
          <w:rFonts w:ascii="Tinos" w:hAnsi="Tinos"/>
          <w:sz w:val="28"/>
          <w:u w:val="none"/>
        </w:rPr>
        <w:t>mfc</w:t>
      </w:r>
      <w:r>
        <w:rPr>
          <w:rStyle w:val="Style_4_ch"/>
          <w:rFonts w:ascii="Tinos" w:hAnsi="Tinos"/>
          <w:sz w:val="28"/>
          <w:u w:val="none"/>
        </w:rPr>
        <w:fldChar w:fldCharType="end"/>
      </w:r>
      <w:r>
        <w:rPr>
          <w:rFonts w:ascii="Tinos" w:hAnsi="Tinos"/>
          <w:sz w:val="28"/>
        </w:rPr>
        <w:t xml:space="preserve"> </w:t>
      </w:r>
      <w:r>
        <w:rPr>
          <w:rFonts w:ascii="Tinos" w:hAnsi="Tinos"/>
          <w:sz w:val="28"/>
        </w:rPr>
        <w:t>61</w:t>
      </w:r>
      <w:r>
        <w:rPr>
          <w:rFonts w:ascii="Tinos" w:hAnsi="Tinos"/>
          <w:sz w:val="28"/>
        </w:rPr>
        <w:t>/.</w:t>
      </w:r>
      <w:r>
        <w:rPr>
          <w:rFonts w:ascii="Tinos" w:hAnsi="Tinos"/>
          <w:sz w:val="28"/>
        </w:rPr>
        <w:t>ru</w:t>
      </w:r>
    </w:p>
    <w:p w14:paraId="2F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color w:val="000000"/>
          <w:sz w:val="28"/>
        </w:rPr>
        <w:t xml:space="preserve">         адреса и режим работы территориально обособленных структурных подразделений МАУ МФЦ Белокалитвинского района (далее- ТОСП МАУ МФЦ Белокалитвинского района) размещены на официальном сайте сети Многофункциональных центров Ростовской области:</w:t>
      </w:r>
      <w:r>
        <w:rPr>
          <w:rFonts w:ascii="Tinos" w:hAnsi="Tinos"/>
          <w:sz w:val="28"/>
        </w:rPr>
        <w:t xml:space="preserve"> </w:t>
      </w:r>
      <w:r>
        <w:rPr>
          <w:rStyle w:val="Style_4_ch"/>
          <w:rFonts w:ascii="Tinos" w:hAnsi="Tinos"/>
          <w:sz w:val="28"/>
        </w:rPr>
        <w:fldChar w:fldCharType="begin"/>
      </w:r>
      <w:r>
        <w:rPr>
          <w:rStyle w:val="Style_4_ch"/>
          <w:rFonts w:ascii="Tinos" w:hAnsi="Tinos"/>
          <w:sz w:val="28"/>
        </w:rPr>
        <w:instrText>HYPERLINK "http://www.mfc"</w:instrText>
      </w:r>
      <w:r>
        <w:rPr>
          <w:rStyle w:val="Style_4_ch"/>
          <w:rFonts w:ascii="Tinos" w:hAnsi="Tinos"/>
          <w:sz w:val="28"/>
        </w:rPr>
        <w:fldChar w:fldCharType="separate"/>
      </w:r>
      <w:r>
        <w:rPr>
          <w:rStyle w:val="Style_4_ch"/>
          <w:rFonts w:ascii="Tinos" w:hAnsi="Tinos"/>
          <w:sz w:val="28"/>
        </w:rPr>
        <w:t>http</w:t>
      </w:r>
      <w:r>
        <w:rPr>
          <w:rStyle w:val="Style_4_ch"/>
          <w:rFonts w:ascii="Tinos" w:hAnsi="Tinos"/>
          <w:sz w:val="28"/>
        </w:rPr>
        <w:t>://</w:t>
      </w:r>
      <w:r>
        <w:rPr>
          <w:rStyle w:val="Style_4_ch"/>
          <w:rFonts w:ascii="Tinos" w:hAnsi="Tinos"/>
          <w:sz w:val="28"/>
        </w:rPr>
        <w:t>www</w:t>
      </w:r>
      <w:r>
        <w:rPr>
          <w:rStyle w:val="Style_4_ch"/>
          <w:rFonts w:ascii="Tinos" w:hAnsi="Tinos"/>
          <w:sz w:val="28"/>
        </w:rPr>
        <w:t>.</w:t>
      </w:r>
      <w:r>
        <w:rPr>
          <w:rStyle w:val="Style_4_ch"/>
          <w:rFonts w:ascii="Tinos" w:hAnsi="Tinos"/>
          <w:sz w:val="28"/>
        </w:rPr>
        <w:t>mfc</w:t>
      </w:r>
      <w:r>
        <w:rPr>
          <w:rStyle w:val="Style_4_ch"/>
          <w:rFonts w:ascii="Tinos" w:hAnsi="Tinos"/>
          <w:sz w:val="28"/>
        </w:rPr>
        <w:fldChar w:fldCharType="end"/>
      </w:r>
      <w:r>
        <w:rPr>
          <w:rFonts w:ascii="Tinos" w:hAnsi="Tinos"/>
          <w:sz w:val="28"/>
        </w:rPr>
        <w:t>61.</w:t>
      </w:r>
      <w:r>
        <w:rPr>
          <w:rFonts w:ascii="Tinos" w:hAnsi="Tinos"/>
          <w:sz w:val="28"/>
        </w:rPr>
        <w:t>ru</w:t>
      </w:r>
    </w:p>
    <w:p w14:paraId="30000000">
      <w:pPr>
        <w:widowControl w:val="1"/>
        <w:spacing w:after="0" w:line="240" w:lineRule="auto"/>
        <w:ind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график работы: </w:t>
      </w:r>
    </w:p>
    <w:tbl>
      <w:tblPr>
        <w:tblStyle w:val="Style_3"/>
        <w:tblW w:type="auto" w:w="0"/>
        <w:tblInd w:type="dxa" w:w="-49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2749"/>
        <w:gridCol w:w="2511"/>
        <w:gridCol w:w="3067"/>
      </w:tblGrid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День недели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Часы работы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Обеденный перерыв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Понедельник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Вторник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Среда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–17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Четверг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–19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Пятница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  <w:tr>
        <w:trPr>
          <w:trHeight w:hRule="atLeast" w:val="284"/>
        </w:trPr>
        <w:tc>
          <w:tcPr>
            <w:tcW w:type="dxa" w:w="2749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Суббота</w:t>
            </w:r>
          </w:p>
        </w:tc>
        <w:tc>
          <w:tcPr>
            <w:tcW w:type="dxa" w:w="2511"/>
            <w:tcBorders>
              <w:top w:color="B5B5B5" w:sz="6" w:val="single"/>
              <w:left w:color="B5B5B5" w:sz="6" w:val="single"/>
              <w:bottom w:color="B5B5B5" w:sz="6" w:val="single"/>
              <w:right w:sz="4" w:val="nil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  <w:sz w:val="28"/>
              </w:rPr>
              <w:t>8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  <w:r>
              <w:rPr>
                <w:rFonts w:ascii="Tinos" w:hAnsi="Tinos"/>
                <w:sz w:val="28"/>
              </w:rPr>
              <w:t xml:space="preserve"> –16</w:t>
            </w:r>
            <w:r>
              <w:rPr>
                <w:rFonts w:ascii="Tinos" w:hAnsi="Tinos"/>
                <w:sz w:val="28"/>
                <w:u w:val="single"/>
                <w:vertAlign w:val="superscript"/>
              </w:rPr>
              <w:t>00</w:t>
            </w:r>
          </w:p>
        </w:tc>
        <w:tc>
          <w:tcPr>
            <w:tcW w:type="dxa" w:w="3067"/>
            <w:tcBorders>
              <w:top w:color="B5B5B5" w:sz="6" w:val="single"/>
              <w:left w:color="B5B5B5" w:sz="6" w:val="single"/>
              <w:bottom w:color="B5B5B5" w:sz="6" w:val="single"/>
              <w:right w:color="B5B5B5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widowControl w:val="1"/>
              <w:spacing w:line="240" w:lineRule="auto"/>
              <w:ind/>
              <w:jc w:val="center"/>
              <w:rPr>
                <w:rFonts w:ascii="Tinos" w:hAnsi="Tinos"/>
              </w:rPr>
            </w:pPr>
            <w:r>
              <w:rPr>
                <w:rFonts w:ascii="Tinos" w:hAnsi="Tinos"/>
              </w:rPr>
              <w:t>Без перерыва</w:t>
            </w:r>
          </w:p>
        </w:tc>
      </w:tr>
    </w:tbl>
    <w:p w14:paraId="46000000">
      <w:pPr>
        <w:pStyle w:val="Style_1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>»;</w:t>
      </w:r>
    </w:p>
    <w:p w14:paraId="47000000">
      <w:pPr>
        <w:pStyle w:val="Style_1"/>
        <w:widowControl w:val="1"/>
        <w:spacing w:after="0" w:before="0" w:line="240" w:lineRule="auto"/>
        <w:ind w:firstLine="720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color w:val="000000"/>
          <w:sz w:val="28"/>
        </w:rPr>
        <w:t xml:space="preserve">1.2. Раздел 4 «Формы контроля за исполнением </w:t>
      </w:r>
      <w:r>
        <w:rPr>
          <w:rFonts w:ascii="Tinos" w:hAnsi="Tinos"/>
          <w:sz w:val="28"/>
        </w:rPr>
        <w:t xml:space="preserve">Административного регламента» </w:t>
      </w:r>
      <w:r>
        <w:rPr>
          <w:rFonts w:ascii="Tinos" w:hAnsi="Tinos"/>
          <w:color w:val="000000"/>
          <w:sz w:val="28"/>
        </w:rPr>
        <w:t>признать утратившим силу;</w:t>
      </w:r>
    </w:p>
    <w:p w14:paraId="48000000">
      <w:pPr>
        <w:pStyle w:val="Style_2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nos" w:hAnsi="Tinos"/>
          <w:sz w:val="28"/>
        </w:rPr>
      </w:pPr>
      <w:r>
        <w:rPr>
          <w:rFonts w:ascii="Tinos" w:hAnsi="Tinos"/>
          <w:color w:val="000000"/>
          <w:sz w:val="28"/>
        </w:rPr>
        <w:t xml:space="preserve">1.3. Раздел </w:t>
      </w:r>
      <w:r>
        <w:rPr>
          <w:rFonts w:ascii="Tinos" w:hAnsi="Tinos"/>
          <w:color w:val="000000"/>
          <w:sz w:val="28"/>
        </w:rPr>
        <w:t>V</w:t>
      </w:r>
      <w:r>
        <w:rPr>
          <w:rFonts w:ascii="Tinos" w:hAnsi="Tinos"/>
          <w:color w:val="000000"/>
          <w:sz w:val="28"/>
        </w:rPr>
        <w:t xml:space="preserve"> «</w:t>
      </w:r>
      <w:r>
        <w:rPr>
          <w:rFonts w:ascii="Tinos" w:hAnsi="Tinos"/>
          <w:sz w:val="28"/>
        </w:rPr>
        <w:t>Д</w:t>
      </w:r>
      <w:r>
        <w:rPr>
          <w:rFonts w:ascii="Tinos" w:hAnsi="Tinos"/>
          <w:sz w:val="28"/>
        </w:rPr>
        <w:t xml:space="preserve">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иных организаций, а также их должностных лиц, муниципальных служащих, работников» </w:t>
      </w:r>
      <w:r>
        <w:rPr>
          <w:rFonts w:ascii="Tinos" w:hAnsi="Tinos"/>
          <w:color w:val="000000"/>
          <w:sz w:val="28"/>
        </w:rPr>
        <w:t>признать утратившим силу.</w:t>
      </w:r>
    </w:p>
    <w:p w14:paraId="49000000">
      <w:pPr>
        <w:pStyle w:val="Style_2"/>
        <w:widowControl w:val="1"/>
        <w:spacing w:after="0" w:before="0" w:line="240" w:lineRule="auto"/>
        <w:ind w:firstLine="709" w:left="0"/>
        <w:contextualSpacing w:val="1"/>
        <w:jc w:val="both"/>
        <w:rPr>
          <w:rFonts w:ascii="Tinos" w:hAnsi="Tinos"/>
          <w:color w:val="000000"/>
          <w:sz w:val="28"/>
        </w:rPr>
      </w:pPr>
      <w:r>
        <w:rPr>
          <w:rFonts w:ascii="Tinos" w:hAnsi="Tinos"/>
          <w:sz w:val="28"/>
        </w:rPr>
        <w:t xml:space="preserve">2. </w:t>
      </w:r>
      <w:r>
        <w:rPr>
          <w:rFonts w:ascii="Tinos" w:hAnsi="Tinos"/>
          <w:sz w:val="28"/>
        </w:rPr>
        <w:t>Постановление вступает в силу после его официального опубликования.</w:t>
      </w:r>
    </w:p>
    <w:p w14:paraId="4A000000">
      <w:pPr>
        <w:pStyle w:val="Style_1"/>
        <w:widowControl w:val="1"/>
        <w:tabs>
          <w:tab w:leader="none" w:pos="708" w:val="clear"/>
          <w:tab w:leader="none" w:pos="2520" w:val="left"/>
        </w:tabs>
        <w:spacing w:after="0" w:before="0" w:line="240" w:lineRule="auto"/>
        <w:ind w:firstLine="709"/>
        <w:jc w:val="both"/>
        <w:rPr>
          <w:rFonts w:ascii="Tinos" w:hAnsi="Tinos"/>
          <w:sz w:val="28"/>
        </w:rPr>
      </w:pPr>
      <w:r>
        <w:rPr>
          <w:rFonts w:ascii="Tinos" w:hAnsi="Tinos"/>
          <w:sz w:val="28"/>
        </w:rPr>
        <w:t>3. Контроль за исполнением настоящего постановления возложить на и.о.заместителя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4B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nos" w:hAnsi="Tinos"/>
          <w:sz w:val="26"/>
        </w:rPr>
      </w:pPr>
    </w:p>
    <w:p w14:paraId="4C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6"/>
        </w:rPr>
      </w:pPr>
    </w:p>
    <w:p w14:paraId="4D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 xml:space="preserve">   </w:t>
      </w:r>
      <w:r>
        <w:rPr>
          <w:rFonts w:ascii="Tinos" w:hAnsi="Tinos"/>
          <w:sz w:val="28"/>
        </w:rPr>
        <w:t>Глава Администрации</w:t>
      </w:r>
    </w:p>
    <w:p w14:paraId="4E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>Белокалитвинского района</w:t>
      </w: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 xml:space="preserve">                                                     О.А. Мельникова</w:t>
      </w:r>
    </w:p>
    <w:p w14:paraId="4F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>Проект вносит:</w:t>
      </w:r>
    </w:p>
    <w:p w14:paraId="50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>Начальник службы</w:t>
      </w:r>
    </w:p>
    <w:p w14:paraId="51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  <w:r>
        <w:rPr>
          <w:rFonts w:ascii="Tinos" w:hAnsi="Tinos"/>
          <w:sz w:val="28"/>
        </w:rPr>
        <w:t>реализации жилищных программ                                                 Р.Р. Гусейнов</w:t>
      </w:r>
    </w:p>
    <w:p w14:paraId="52000000">
      <w:pPr>
        <w:pStyle w:val="Style_1"/>
        <w:widowControl w:val="1"/>
        <w:spacing w:after="0" w:before="0" w:line="240" w:lineRule="auto"/>
        <w:ind/>
        <w:rPr>
          <w:rFonts w:ascii="Tinos" w:hAnsi="Tinos"/>
          <w:sz w:val="28"/>
        </w:rPr>
      </w:pPr>
    </w:p>
    <w:sectPr>
      <w:type w:val="nextPage"/>
      <w:pgSz w:h="16838" w:orient="portrait" w:w="11906"/>
      <w:pgMar w:bottom="142" w:footer="0" w:gutter="0" w:header="0" w:left="1701" w:right="850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1069"/>
      </w:pPr>
    </w:lvl>
    <w:lvl w:ilvl="1">
      <w:start w:val="5"/>
      <w:numFmt w:val="decimal"/>
      <w:lvlText w:val="%1.%2."/>
      <w:lvlJc w:val="left"/>
      <w:pPr>
        <w:widowControl w:val="1"/>
        <w:tabs>
          <w:tab w:leader="none" w:pos="0" w:val="left"/>
        </w:tabs>
        <w:ind w:hanging="720" w:left="1429"/>
      </w:pPr>
    </w:lvl>
    <w:lvl w:ilvl="2">
      <w:start w:val="1"/>
      <w:numFmt w:val="decimal"/>
      <w:lvlText w:val="%1.%2.%3."/>
      <w:lvlJc w:val="left"/>
      <w:pPr>
        <w:widowControl w:val="1"/>
        <w:tabs>
          <w:tab w:leader="none" w:pos="0" w:val="left"/>
        </w:tabs>
        <w:ind w:hanging="720" w:left="1429"/>
      </w:p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1080" w:left="1789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1080" w:left="1789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1440" w:left="2149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800" w:left="2509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800" w:left="2509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2160" w:left="286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5" w:type="paragraph">
    <w:name w:val="toc 2"/>
    <w:next w:val="Style_1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"/>
    <w:basedOn w:val="Style_1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1_ch"/>
    <w:link w:val="Style_7"/>
  </w:style>
  <w:style w:styleId="Style_8" w:type="paragraph">
    <w:name w:val="toc 6"/>
    <w:next w:val="Style_1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Заголовок"/>
    <w:basedOn w:val="Style_1"/>
    <w:next w:val="Style_7"/>
    <w:link w:val="Style_1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2_ch" w:type="character">
    <w:name w:val="Заголовок"/>
    <w:basedOn w:val="Style_1_ch"/>
    <w:link w:val="Style_12"/>
    <w:rPr>
      <w:rFonts w:ascii="PT Astra Serif" w:hAnsi="PT Astra Serif"/>
      <w:sz w:val="28"/>
    </w:rPr>
  </w:style>
  <w:style w:styleId="Style_13" w:type="paragraph">
    <w:name w:val="List"/>
    <w:basedOn w:val="Style_7"/>
    <w:link w:val="Style_13_ch"/>
    <w:rPr>
      <w:rFonts w:ascii="PT Astra Serif" w:hAnsi="PT Astra Serif"/>
    </w:rPr>
  </w:style>
  <w:style w:styleId="Style_13_ch" w:type="character">
    <w:name w:val="List"/>
    <w:basedOn w:val="Style_7_ch"/>
    <w:link w:val="Style_13"/>
    <w:rPr>
      <w:rFonts w:ascii="PT Astra Serif" w:hAnsi="PT Astra Serif"/>
    </w:rPr>
  </w:style>
  <w:style w:styleId="Style_14" w:type="paragraph">
    <w:name w:val="Верхний колонтитул Знак"/>
    <w:basedOn w:val="Style_15"/>
    <w:link w:val="Style_14_ch"/>
  </w:style>
  <w:style w:styleId="Style_14_ch" w:type="character">
    <w:name w:val="Верхний колонтитул Знак"/>
    <w:basedOn w:val="Style_15_ch"/>
    <w:link w:val="Style_14"/>
  </w:style>
  <w:style w:styleId="Style_16" w:type="paragraph">
    <w:name w:val="Указатель"/>
    <w:basedOn w:val="Style_1"/>
    <w:link w:val="Style_16_ch"/>
    <w:rPr>
      <w:rFonts w:ascii="PT Astra Serif" w:hAnsi="PT Astra Serif"/>
    </w:rPr>
  </w:style>
  <w:style w:styleId="Style_16_ch" w:type="character">
    <w:name w:val="Указатель"/>
    <w:basedOn w:val="Style_1_ch"/>
    <w:link w:val="Style_16"/>
    <w:rPr>
      <w:rFonts w:ascii="PT Astra Serif" w:hAnsi="PT Astra Serif"/>
    </w:rPr>
  </w:style>
  <w:style w:styleId="Style_17" w:type="paragraph">
    <w:name w:val="toc 3"/>
    <w:next w:val="Style_1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aption"/>
    <w:basedOn w:val="Style_1"/>
    <w:link w:val="Style_18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8_ch" w:type="character">
    <w:name w:val="caption"/>
    <w:basedOn w:val="Style_1_ch"/>
    <w:link w:val="Style_18"/>
    <w:rPr>
      <w:rFonts w:ascii="PT Astra Serif" w:hAnsi="PT Astra Serif"/>
      <w:i w:val="1"/>
      <w:sz w:val="24"/>
    </w:rPr>
  </w:style>
  <w:style w:styleId="Style_19" w:type="paragraph">
    <w:name w:val="Указатель (user)"/>
    <w:basedOn w:val="Style_1"/>
    <w:link w:val="Style_19_ch"/>
    <w:rPr>
      <w:rFonts w:ascii="PT Astra Serif" w:hAnsi="PT Astra Serif"/>
    </w:rPr>
  </w:style>
  <w:style w:styleId="Style_19_ch" w:type="character">
    <w:name w:val="Указатель (user)"/>
    <w:basedOn w:val="Style_1_ch"/>
    <w:link w:val="Style_19"/>
    <w:rPr>
      <w:rFonts w:ascii="PT Astra Serif" w:hAnsi="PT Astra Serif"/>
    </w:rPr>
  </w:style>
  <w:style w:styleId="Style_20" w:type="paragraph">
    <w:name w:val="Balloon Text"/>
    <w:basedOn w:val="Style_1"/>
    <w:link w:val="Style_20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20_ch" w:type="character">
    <w:name w:val="Balloon Text"/>
    <w:basedOn w:val="Style_1_ch"/>
    <w:link w:val="Style_20"/>
    <w:rPr>
      <w:rFonts w:ascii="Segoe UI" w:hAnsi="Segoe UI"/>
      <w:sz w:val="18"/>
    </w:rPr>
  </w:style>
  <w:style w:styleId="Style_21" w:type="paragraph">
    <w:name w:val="heading 5"/>
    <w:next w:val="Style_1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1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footer"/>
    <w:basedOn w:val="Style_1"/>
    <w:link w:val="Style_23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3_ch" w:type="character">
    <w:name w:val="footer"/>
    <w:basedOn w:val="Style_1_ch"/>
    <w:link w:val="Style_23"/>
  </w:style>
  <w:style w:styleId="Style_4" w:type="paragraph">
    <w:name w:val="Hyperlink"/>
    <w:link w:val="Style_4_ch"/>
    <w:rPr>
      <w:color w:val="0000FF"/>
      <w:u w:val="single"/>
    </w:rPr>
  </w:style>
  <w:style w:styleId="Style_4_ch" w:type="character">
    <w:name w:val="Hyperlink"/>
    <w:link w:val="Style_4"/>
    <w:rPr>
      <w:color w:val="0000FF"/>
      <w:u w:val="single"/>
    </w:rPr>
  </w:style>
  <w:style w:styleId="Style_24" w:type="paragraph">
    <w:name w:val="Footnote"/>
    <w:link w:val="Style_2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Нижний колонтитул Знак"/>
    <w:basedOn w:val="Style_15"/>
    <w:link w:val="Style_25_ch"/>
  </w:style>
  <w:style w:styleId="Style_25_ch" w:type="character">
    <w:name w:val="Нижний колонтитул Знак"/>
    <w:basedOn w:val="Style_15_ch"/>
    <w:link w:val="Style_25"/>
  </w:style>
  <w:style w:styleId="Style_26" w:type="paragraph">
    <w:name w:val="toc 1"/>
    <w:next w:val="Style_1"/>
    <w:link w:val="Style_2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7_ch" w:type="character">
    <w:name w:val="Header and Footer"/>
    <w:link w:val="Style_27"/>
    <w:rPr>
      <w:rFonts w:ascii="XO Thames" w:hAnsi="XO Thames"/>
      <w:sz w:val="28"/>
    </w:rPr>
  </w:style>
  <w:style w:styleId="Style_28" w:type="paragraph">
    <w:name w:val="header"/>
    <w:basedOn w:val="Style_1"/>
    <w:link w:val="Style_28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8_ch" w:type="character">
    <w:name w:val="header"/>
    <w:basedOn w:val="Style_1_ch"/>
    <w:link w:val="Style_28"/>
  </w:style>
  <w:style w:styleId="Style_29" w:type="paragraph">
    <w:name w:val="toc 9"/>
    <w:next w:val="Style_1"/>
    <w:link w:val="Style_2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toc 8"/>
    <w:next w:val="Style_1"/>
    <w:link w:val="Style_3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31" w:type="paragraph">
    <w:name w:val="Колонтитулы"/>
    <w:basedOn w:val="Style_1"/>
    <w:link w:val="Style_31_ch"/>
  </w:style>
  <w:style w:styleId="Style_31_ch" w:type="character">
    <w:name w:val="Колонтитулы"/>
    <w:basedOn w:val="Style_1_ch"/>
    <w:link w:val="Style_31"/>
  </w:style>
  <w:style w:styleId="Style_32" w:type="paragraph">
    <w:name w:val="Колонтитулы (user)"/>
    <w:basedOn w:val="Style_1"/>
    <w:link w:val="Style_32_ch"/>
  </w:style>
  <w:style w:styleId="Style_32_ch" w:type="character">
    <w:name w:val="Колонтитулы (user)"/>
    <w:basedOn w:val="Style_1_ch"/>
    <w:link w:val="Style_32"/>
  </w:style>
  <w:style w:styleId="Style_33" w:type="paragraph">
    <w:name w:val="toc 5"/>
    <w:next w:val="Style_1"/>
    <w:link w:val="Style_3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1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Заголовок (user)"/>
    <w:basedOn w:val="Style_1"/>
    <w:next w:val="Style_7"/>
    <w:link w:val="Style_3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5_ch" w:type="character">
    <w:name w:val="Заголовок (user)"/>
    <w:basedOn w:val="Style_1_ch"/>
    <w:link w:val="Style_35"/>
    <w:rPr>
      <w:rFonts w:ascii="PT Astra Serif" w:hAnsi="PT Astra Serif"/>
      <w:sz w:val="28"/>
    </w:rPr>
  </w:style>
  <w:style w:styleId="Style_2" w:type="paragraph">
    <w:name w:val="List Paragraph"/>
    <w:basedOn w:val="Style_1"/>
    <w:link w:val="Style_2_ch"/>
    <w:pPr>
      <w:widowControl w:val="1"/>
      <w:spacing w:after="160" w:before="0"/>
      <w:ind w:left="720"/>
      <w:contextualSpacing w:val="1"/>
    </w:pPr>
  </w:style>
  <w:style w:styleId="Style_2_ch" w:type="character">
    <w:name w:val="List Paragraph"/>
    <w:basedOn w:val="Style_1_ch"/>
    <w:link w:val="Style_2"/>
  </w:style>
  <w:style w:styleId="Style_36" w:type="paragraph">
    <w:name w:val="Title"/>
    <w:next w:val="Style_1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1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1"/>
    <w:link w:val="Style_3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2025-06-06T12:05:00Z</dcterms:created>
  <dcterms:modified xsi:type="dcterms:W3CDTF">2026-04-01T14:29:25Z</dcterms:modified>
</cp:coreProperties>
</file>