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E1" w:rsidRPr="003E43E1" w:rsidRDefault="003E43E1" w:rsidP="003E43E1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84354819"/>
      <w:r w:rsidRPr="003E43E1">
        <w:rPr>
          <w:rFonts w:ascii="Times New Roman" w:eastAsia="Times New Roman" w:hAnsi="Times New Roman" w:cs="Times New Roman"/>
          <w:sz w:val="24"/>
          <w:szCs w:val="24"/>
        </w:rPr>
        <w:t>/проект, 1-ая редакция/</w:t>
      </w:r>
    </w:p>
    <w:p w:rsidR="003E43E1" w:rsidRPr="003E43E1" w:rsidRDefault="003E43E1" w:rsidP="003E43E1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3E1">
        <w:rPr>
          <w:rFonts w:ascii="Times New Roman" w:eastAsia="Times New Roman" w:hAnsi="Times New Roman" w:cs="Times New Roman"/>
          <w:b/>
          <w:sz w:val="28"/>
          <w:szCs w:val="28"/>
        </w:rPr>
        <w:t>МЕСТНЫЕ НОРМАТИВЫ</w:t>
      </w:r>
    </w:p>
    <w:p w:rsidR="003E43E1" w:rsidRPr="003E43E1" w:rsidRDefault="003E43E1" w:rsidP="003E43E1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3E1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3E43E1" w:rsidRPr="003E43E1" w:rsidRDefault="003E43E1" w:rsidP="003E43E1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3E1">
        <w:rPr>
          <w:rFonts w:ascii="Times New Roman" w:eastAsia="Times New Roman" w:hAnsi="Times New Roman" w:cs="Times New Roman"/>
          <w:b/>
          <w:sz w:val="28"/>
          <w:szCs w:val="28"/>
        </w:rPr>
        <w:t>КОКСОВСКОГО СЕЛЬСКОГО ПОСЕЛЕНИЯ</w:t>
      </w:r>
    </w:p>
    <w:p w:rsidR="003E43E1" w:rsidRPr="003E43E1" w:rsidRDefault="003E43E1" w:rsidP="003E43E1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3E1"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БЕЛОКАЛИТВИНСКОГО РАЙОНА</w:t>
      </w:r>
    </w:p>
    <w:p w:rsidR="003E43E1" w:rsidRPr="003E43E1" w:rsidRDefault="003E43E1" w:rsidP="003E43E1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3E1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/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C72A63" w:rsidRPr="00C72A63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72A63">
            <w:fldChar w:fldCharType="begin"/>
          </w:r>
          <w:r w:rsidRPr="00C72A63">
            <w:instrText xml:space="preserve"> TOC \o "1-3" \h \z \u </w:instrText>
          </w:r>
          <w:r w:rsidRPr="00C72A63">
            <w:fldChar w:fldCharType="separate"/>
          </w:r>
          <w:hyperlink w:anchor="_Toc19486673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муниципального образования «</w:t>
            </w:r>
            <w:r w:rsidR="007E275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Коксовское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3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7E275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Коксовское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Транспорт и автомобильные дороги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Содействие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Массовый отдых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Благоустройство и озеленение территории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Инженерное обеспечение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7E275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Коксовское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состоянии, прогнозе развития поселения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содействия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массового спорта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массового отдыха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благоустройства и озеленения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инженерного обеспечения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7E275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Коксовское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Правила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1D37F2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7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Область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_Toc194866770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E4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2B77" w:rsidRPr="00C22B77" w:rsidRDefault="00C22B77">
          <w:r w:rsidRPr="00C72A63">
            <w:rPr>
              <w:bCs/>
            </w:rPr>
            <w:lastRenderedPageBreak/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866738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7E275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Коксовское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86673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7E27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Коксовского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904B38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866740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7E2755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Коксовское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86674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86674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1D37F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1D37F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1D37F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866743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866744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904B38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866745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866746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86674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866748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866749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866750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86675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866752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86675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86675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1D37F2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1D37F2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1D37F2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1D37F2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1D37F2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1D37F2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866755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7E2755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Коксовское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866756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184354838"/>
      <w:bookmarkStart w:id="39" w:name="_Toc194866757"/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Коксовское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расположено на западе Белокалитвинского района Ростовской области и граничит на севере с Белокалитвинским городским поселением, на востоке с г. Белая Калитва, на юге с Богураевским сельским поселением, на западе с Каменским районом. 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Коксовского сельского поселения протекает река Северский Донец.</w:t>
      </w:r>
    </w:p>
    <w:p w:rsidR="007E2755" w:rsidRPr="00F5356F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165 км., до г. Белая Калитва 15 км.</w:t>
      </w:r>
    </w:p>
    <w:p w:rsidR="007E2755" w:rsidRPr="00971D5A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204508">
        <w:rPr>
          <w:rFonts w:ascii="Times New Roman" w:hAnsi="Times New Roman"/>
          <w:sz w:val="28"/>
          <w:szCs w:val="28"/>
        </w:rPr>
        <w:t xml:space="preserve">5 883 </w:t>
      </w:r>
      <w:r>
        <w:rPr>
          <w:rFonts w:ascii="Times New Roman" w:hAnsi="Times New Roman"/>
          <w:sz w:val="28"/>
          <w:szCs w:val="28"/>
        </w:rPr>
        <w:t>га.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 7 207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3 населённых пунктов:</w:t>
      </w:r>
    </w:p>
    <w:p w:rsidR="007E2755" w:rsidRPr="0080352C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п. </w:t>
      </w:r>
      <w:r w:rsidRPr="0080352C">
        <w:rPr>
          <w:rFonts w:ascii="Times New Roman" w:hAnsi="Times New Roman"/>
          <w:sz w:val="28"/>
          <w:szCs w:val="28"/>
        </w:rPr>
        <w:t>Коксовый (7</w:t>
      </w:r>
      <w:r>
        <w:rPr>
          <w:rFonts w:ascii="Times New Roman" w:hAnsi="Times New Roman"/>
          <w:sz w:val="28"/>
          <w:szCs w:val="28"/>
        </w:rPr>
        <w:t> </w:t>
      </w:r>
      <w:r w:rsidRPr="0080352C">
        <w:rPr>
          <w:rFonts w:ascii="Times New Roman" w:hAnsi="Times New Roman"/>
          <w:sz w:val="28"/>
          <w:szCs w:val="28"/>
        </w:rPr>
        <w:t>208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352C">
        <w:rPr>
          <w:rStyle w:val="afd"/>
          <w:rFonts w:ascii="Times New Roman" w:hAnsi="Times New Roman"/>
          <w:sz w:val="28"/>
          <w:szCs w:val="28"/>
        </w:rPr>
        <w:footnoteReference w:id="2"/>
      </w:r>
      <w:r w:rsidRPr="0080352C">
        <w:rPr>
          <w:rFonts w:ascii="Times New Roman" w:hAnsi="Times New Roman"/>
          <w:sz w:val="28"/>
          <w:szCs w:val="28"/>
        </w:rPr>
        <w:t>чел.);</w:t>
      </w:r>
    </w:p>
    <w:p w:rsidR="007E2755" w:rsidRPr="0080352C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52C">
        <w:rPr>
          <w:rFonts w:ascii="Times New Roman" w:hAnsi="Times New Roman"/>
          <w:sz w:val="28"/>
          <w:szCs w:val="28"/>
        </w:rPr>
        <w:t>2) п. Разъезд Васильевский (</w:t>
      </w:r>
      <w:r>
        <w:rPr>
          <w:rFonts w:ascii="Times New Roman" w:hAnsi="Times New Roman"/>
          <w:sz w:val="28"/>
          <w:szCs w:val="28"/>
        </w:rPr>
        <w:t xml:space="preserve">202 </w:t>
      </w:r>
      <w:r w:rsidRPr="0080352C">
        <w:rPr>
          <w:rFonts w:ascii="Times New Roman" w:hAnsi="Times New Roman"/>
          <w:sz w:val="28"/>
          <w:szCs w:val="28"/>
        </w:rPr>
        <w:t>чел.);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52C">
        <w:rPr>
          <w:rFonts w:ascii="Times New Roman" w:hAnsi="Times New Roman"/>
          <w:sz w:val="28"/>
          <w:szCs w:val="28"/>
        </w:rPr>
        <w:t>3) п.</w:t>
      </w:r>
      <w:r w:rsidRPr="0080352C">
        <w:t xml:space="preserve"> </w:t>
      </w:r>
      <w:r w:rsidRPr="0080352C">
        <w:rPr>
          <w:rFonts w:ascii="Times New Roman" w:hAnsi="Times New Roman"/>
          <w:sz w:val="28"/>
          <w:szCs w:val="28"/>
        </w:rPr>
        <w:t>Русичи (</w:t>
      </w:r>
      <w:r>
        <w:rPr>
          <w:rFonts w:ascii="Times New Roman" w:hAnsi="Times New Roman"/>
          <w:sz w:val="28"/>
          <w:szCs w:val="28"/>
        </w:rPr>
        <w:t xml:space="preserve">86 </w:t>
      </w:r>
      <w:r w:rsidRPr="0080352C">
        <w:rPr>
          <w:rFonts w:ascii="Times New Roman" w:hAnsi="Times New Roman"/>
          <w:sz w:val="28"/>
          <w:szCs w:val="28"/>
        </w:rPr>
        <w:t>чел.).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больниц 10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1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4 ед. на 196 мест;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3 ед. на 692 мест;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учреждений среднего профессионального образования  1 ед. на 339 мест;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стадионов 1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3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и полей 12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1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2 ед.;</w:t>
      </w:r>
    </w:p>
    <w:p w:rsid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памятников 3 ед.;</w:t>
      </w:r>
    </w:p>
    <w:p w:rsidR="007E2755" w:rsidRPr="007E2755" w:rsidRDefault="007E2755" w:rsidP="007E275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культовых учреждений 1 ед. </w:t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904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площадками для межрейсового отстоя транспорта на маршрутах регулярных перевозок определяется целевым способом исходя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>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0" w:name="_Toc184354839"/>
      <w:bookmarkStart w:id="41" w:name="_Toc194866758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0"/>
      <w:bookmarkEnd w:id="41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2" w:name="_Toc184354840"/>
      <w:bookmarkStart w:id="43" w:name="_Toc19486675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2"/>
      <w:bookmarkEnd w:id="43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4" w:name="_Toc184354841"/>
      <w:bookmarkStart w:id="45" w:name="_Toc19486676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4"/>
      <w:bookmarkEnd w:id="45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>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6" w:name="_Toc184354842"/>
      <w:bookmarkStart w:id="47" w:name="_Toc19486676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6"/>
      <w:bookmarkEnd w:id="47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8" w:name="_Toc184354846"/>
      <w:bookmarkStart w:id="49" w:name="_Toc19486676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8"/>
      <w:bookmarkEnd w:id="49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0" w:name="_Toc184354844"/>
      <w:bookmarkStart w:id="51" w:name="_Toc19486676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0"/>
      <w:bookmarkEnd w:id="51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>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2" w:name="_Toc184354843"/>
      <w:bookmarkStart w:id="53" w:name="_Toc19486676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2"/>
      <w:bookmarkEnd w:id="53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4" w:name="_Toc184354845"/>
      <w:bookmarkStart w:id="55" w:name="_Toc19486676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4"/>
      <w:bookmarkEnd w:id="55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6" w:name="_Toc184354847"/>
      <w:bookmarkStart w:id="57" w:name="_Toc19486676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6"/>
      <w:bookmarkEnd w:id="57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8" w:name="_Toc19486676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8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59" w:name="_Toc184354848"/>
      <w:bookmarkStart w:id="60" w:name="_Toc19486676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7E2755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Коксовское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59"/>
      <w:bookmarkEnd w:id="60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1" w:name="_Toc184354849"/>
      <w:bookmarkStart w:id="62" w:name="_Toc19486676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1"/>
      <w:bookmarkEnd w:id="6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3" w:name="_Toc184354850"/>
      <w:bookmarkStart w:id="64" w:name="_Toc19486677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3"/>
      <w:bookmarkEnd w:id="64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  <w:bookmarkStart w:id="65" w:name="_GoBack"/>
      <w:bookmarkEnd w:id="65"/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F2" w:rsidRDefault="001D37F2">
      <w:pPr>
        <w:spacing w:after="0" w:line="240" w:lineRule="auto"/>
      </w:pPr>
      <w:r>
        <w:separator/>
      </w:r>
    </w:p>
  </w:endnote>
  <w:endnote w:type="continuationSeparator" w:id="0">
    <w:p w:rsidR="001D37F2" w:rsidRDefault="001D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B38">
          <w:rPr>
            <w:noProof/>
          </w:rPr>
          <w:t>36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F2" w:rsidRDefault="001D37F2">
      <w:pPr>
        <w:spacing w:after="0" w:line="240" w:lineRule="auto"/>
      </w:pPr>
      <w:r>
        <w:separator/>
      </w:r>
    </w:p>
  </w:footnote>
  <w:footnote w:type="continuationSeparator" w:id="0">
    <w:p w:rsidR="001D37F2" w:rsidRDefault="001D37F2">
      <w:pPr>
        <w:spacing w:after="0" w:line="240" w:lineRule="auto"/>
      </w:pPr>
      <w:r>
        <w:continuationSeparator/>
      </w:r>
    </w:p>
  </w:footnote>
  <w:footnote w:id="1">
    <w:p w:rsidR="007E2755" w:rsidRDefault="007E2755" w:rsidP="007E2755">
      <w:pPr>
        <w:pStyle w:val="afb"/>
      </w:pPr>
      <w:r>
        <w:rPr>
          <w:rStyle w:val="afd"/>
        </w:rPr>
        <w:footnoteRef/>
      </w:r>
      <w:r>
        <w:t xml:space="preserve"> БД ПМО Ростовской области Росстата РФ</w:t>
      </w:r>
    </w:p>
  </w:footnote>
  <w:footnote w:id="2">
    <w:p w:rsidR="007E2755" w:rsidRDefault="007E2755" w:rsidP="007E2755">
      <w:pPr>
        <w:pStyle w:val="afb"/>
      </w:pPr>
      <w:r w:rsidRPr="0080352C">
        <w:rPr>
          <w:rStyle w:val="afd"/>
        </w:rPr>
        <w:footnoteRef/>
      </w:r>
      <w:r w:rsidRPr="0080352C">
        <w:t xml:space="preserve"> Численность</w:t>
      </w:r>
      <w:r>
        <w:t xml:space="preserve"> населения заимствована из паспорта муниципального образования «Коксовское 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37F2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C7214"/>
    <w:rsid w:val="003D3F79"/>
    <w:rsid w:val="003E43E1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E2755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B38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007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3A8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3A0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D628"/>
  <w15:docId w15:val="{9738FDC4-1718-4B00-A454-2A909AF5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A8E0-3A01-4644-93D6-58FCA839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10828</Words>
  <Characters>61721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2025-04-07T08:56:00Z</cp:lastPrinted>
  <dcterms:created xsi:type="dcterms:W3CDTF">2025-04-07T08:56:00Z</dcterms:created>
  <dcterms:modified xsi:type="dcterms:W3CDTF">2025-04-14T09:00:00Z</dcterms:modified>
</cp:coreProperties>
</file>