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72" w:rsidRPr="00932872" w:rsidRDefault="00932872" w:rsidP="0093287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84354819"/>
      <w:r w:rsidRPr="00932872">
        <w:rPr>
          <w:rFonts w:ascii="Times New Roman" w:eastAsia="Times New Roman" w:hAnsi="Times New Roman" w:cs="Times New Roman"/>
          <w:sz w:val="24"/>
          <w:szCs w:val="24"/>
        </w:rPr>
        <w:t>/проект, 1-ая редакция/</w:t>
      </w:r>
    </w:p>
    <w:p w:rsidR="00932872" w:rsidRPr="00932872" w:rsidRDefault="00932872" w:rsidP="0093287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872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932872" w:rsidRPr="00932872" w:rsidRDefault="00932872" w:rsidP="0093287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872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932872" w:rsidRPr="00932872" w:rsidRDefault="00932872" w:rsidP="0093287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428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872">
        <w:rPr>
          <w:rFonts w:ascii="Times New Roman" w:eastAsia="Times New Roman" w:hAnsi="Times New Roman" w:cs="Times New Roman"/>
          <w:b/>
          <w:sz w:val="28"/>
          <w:szCs w:val="28"/>
        </w:rPr>
        <w:t>НИЖНЕПОПОВСКОГО СЕЛЬСКОГО ПОСЕЛЕНИЯ</w:t>
      </w:r>
    </w:p>
    <w:p w:rsidR="00932872" w:rsidRPr="00932872" w:rsidRDefault="00932872" w:rsidP="0093287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872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932872" w:rsidRPr="00932872" w:rsidRDefault="00932872" w:rsidP="0093287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872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932872" w:rsidRPr="00932872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3287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3287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3287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4926112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«Нижнепоповское сельское поселение» Белокалитвинского района Ростовской области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_Toc194926112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3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_Toc194926113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4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Нижнепоповское </w:t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_Toc194926114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5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_Toc194926115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6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_Toc194926116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7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_Toc194926117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8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_Toc194926118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19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_Toc194926119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0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_Toc194926120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1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_Toc194926121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2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_Toc194926122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3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_Toc194926123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4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_Toc194926124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5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_Toc194926125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6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_Toc194926126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7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_Toc194926127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8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_Toc194926128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29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«Нижнепоповское сельское поселение» Белокалитвинского района Ростовской области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_Toc194926129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0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_Toc194926130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1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_Toc194926131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2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_Toc194926132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3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_Toc194926133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4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_Toc194926134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5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_Toc194926135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6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_Toc194926136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7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_Toc194926137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8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_Toc194926138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39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_Toc194926139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40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_Toc194926140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41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_Toc194926141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42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«Нижнепоповское сельское поселение» Белокалитвинского района Ростовской области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_Toc194926142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43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_Toc194926143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2872" w:rsidRPr="00932872" w:rsidRDefault="005C7386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6144" w:history="1"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932872" w:rsidRPr="0093287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32872" w:rsidRPr="00932872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_Toc194926144 \h </w:instrTex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932872" w:rsidRPr="0093287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932872" w:rsidRDefault="00C22B77">
          <w:pPr>
            <w:rPr>
              <w:rFonts w:ascii="Times New Roman" w:hAnsi="Times New Roman" w:cs="Times New Roman"/>
              <w:sz w:val="28"/>
              <w:szCs w:val="28"/>
            </w:rPr>
          </w:pPr>
          <w:r w:rsidRPr="00932872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926112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F20A5E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Нижнепоповское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926113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F20A5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Нижнепоповского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6903C4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926114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F20A5E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Нижнепоповское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926115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926116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5C7386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5C7386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5C7386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926117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926118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6903C4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926119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926120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92612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926122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926123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926124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926125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926126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92612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926128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5C7386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5C7386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5C7386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5C7386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5C7386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5C7386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926129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F20A5E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Нижнепоповское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926130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Нижнепоповское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расположено в восточной части Белокалитвинского района Ростовской области и граничит на севере с Литвиновским и Рудаковским сельскими поселениями, на востоке с Горняцким сельским поселением, на юге с Краснодонецким сельским поселением и Тацинским районом, на западе с Белокалитвинским городским поселением и Богураевским сельским поселением. 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Нижнепоповского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протекает река Калитва.</w:t>
      </w:r>
    </w:p>
    <w:p w:rsidR="00F20A5E" w:rsidRPr="00F5356F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183 км., до г. Белая Калитва 6,2 км.</w:t>
      </w:r>
    </w:p>
    <w:p w:rsidR="00F20A5E" w:rsidRPr="00971D5A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D7552C">
        <w:rPr>
          <w:rFonts w:ascii="Times New Roman" w:hAnsi="Times New Roman"/>
          <w:sz w:val="28"/>
          <w:szCs w:val="28"/>
        </w:rPr>
        <w:t xml:space="preserve">32 381 </w:t>
      </w:r>
      <w:r>
        <w:rPr>
          <w:rFonts w:ascii="Times New Roman" w:hAnsi="Times New Roman"/>
          <w:sz w:val="28"/>
          <w:szCs w:val="28"/>
        </w:rPr>
        <w:t>га.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4 123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8 населённых пунктов:</w:t>
      </w:r>
    </w:p>
    <w:p w:rsidR="00F20A5E" w:rsidRPr="00762505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п. Сосны (2 676</w:t>
      </w:r>
      <w:r w:rsidRPr="00762505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чел.).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505">
        <w:rPr>
          <w:rFonts w:ascii="Times New Roman" w:hAnsi="Times New Roman"/>
          <w:sz w:val="28"/>
          <w:szCs w:val="28"/>
        </w:rPr>
        <w:t>2) </w:t>
      </w:r>
      <w:r>
        <w:rPr>
          <w:rFonts w:ascii="Times New Roman" w:hAnsi="Times New Roman"/>
          <w:sz w:val="28"/>
          <w:szCs w:val="28"/>
        </w:rPr>
        <w:t>х.</w:t>
      </w:r>
      <w:r w:rsidRPr="00D7552C">
        <w:t xml:space="preserve"> </w:t>
      </w:r>
      <w:r w:rsidRPr="00762505">
        <w:rPr>
          <w:rFonts w:ascii="Times New Roman" w:hAnsi="Times New Roman"/>
          <w:sz w:val="28"/>
          <w:szCs w:val="28"/>
        </w:rPr>
        <w:t>Нижнепопов (861 чел.);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762505">
        <w:rPr>
          <w:rFonts w:ascii="Times New Roman" w:hAnsi="Times New Roman"/>
          <w:sz w:val="28"/>
          <w:szCs w:val="28"/>
        </w:rPr>
        <w:t>х. Апанасовка (797 чел.);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х. Дороговский (312 чел.);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х. Верхнепопов (198 чел.);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х. Живые Ключи (44 чел.);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х. </w:t>
      </w:r>
      <w:r w:rsidRPr="00D7552C">
        <w:rPr>
          <w:rFonts w:ascii="Times New Roman" w:hAnsi="Times New Roman"/>
          <w:sz w:val="28"/>
          <w:szCs w:val="28"/>
        </w:rPr>
        <w:t>Муравейник</w:t>
      </w:r>
      <w:r>
        <w:rPr>
          <w:rFonts w:ascii="Times New Roman" w:hAnsi="Times New Roman"/>
          <w:sz w:val="28"/>
          <w:szCs w:val="28"/>
        </w:rPr>
        <w:t xml:space="preserve"> (3 чел.);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х.</w:t>
      </w:r>
      <w:r w:rsidRPr="00D7552C">
        <w:t xml:space="preserve"> </w:t>
      </w:r>
      <w:r>
        <w:rPr>
          <w:rFonts w:ascii="Times New Roman" w:hAnsi="Times New Roman"/>
          <w:sz w:val="28"/>
          <w:szCs w:val="28"/>
        </w:rPr>
        <w:t>Павлов (4 чел.).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амбулаторий 1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2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3 ед. на 94 мест;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3 ед. на 375 мест;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стадионов 1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3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3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1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2 ед.;</w:t>
      </w:r>
    </w:p>
    <w:p w:rsid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2 ед.;</w:t>
      </w:r>
    </w:p>
    <w:p w:rsidR="00F20A5E" w:rsidRPr="00F20A5E" w:rsidRDefault="00F20A5E" w:rsidP="00F20A5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истории и культуры 6 ед.</w:t>
      </w:r>
      <w:r>
        <w:rPr>
          <w:rStyle w:val="afd"/>
          <w:rFonts w:ascii="Times New Roman" w:hAnsi="Times New Roman"/>
          <w:sz w:val="28"/>
          <w:szCs w:val="28"/>
        </w:rPr>
        <w:footnoteReference w:id="3"/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9" w:name="_Toc19492613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соответствии с положениями примечания *** пункта 1.1. РНГП РО, уровень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lastRenderedPageBreak/>
        <w:t>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69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</w:t>
            </w:r>
            <w:bookmarkStart w:id="40" w:name="_GoBack"/>
            <w:bookmarkEnd w:id="40"/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926132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92613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92613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 xml:space="preserve">федеральным законом от 26 мая 1996 г. N 54-ФЗ "О Музейном фонде Российской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lastRenderedPageBreak/>
        <w:t>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92613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92613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92613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926138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92613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92614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Как правило, площадь захоронений кладбищ с учетом планировочной организации составляет 65% от общей площади, согласно 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92614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926142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F20A5E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Нижнепоповское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92614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92614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86" w:rsidRDefault="005C7386">
      <w:pPr>
        <w:spacing w:after="0" w:line="240" w:lineRule="auto"/>
      </w:pPr>
      <w:r>
        <w:separator/>
      </w:r>
    </w:p>
  </w:endnote>
  <w:endnote w:type="continuationSeparator" w:id="0">
    <w:p w:rsidR="005C7386" w:rsidRDefault="005C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3C4">
          <w:rPr>
            <w:noProof/>
          </w:rPr>
          <w:t>30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86" w:rsidRDefault="005C7386">
      <w:pPr>
        <w:spacing w:after="0" w:line="240" w:lineRule="auto"/>
      </w:pPr>
      <w:r>
        <w:separator/>
      </w:r>
    </w:p>
  </w:footnote>
  <w:footnote w:type="continuationSeparator" w:id="0">
    <w:p w:rsidR="005C7386" w:rsidRDefault="005C7386">
      <w:pPr>
        <w:spacing w:after="0" w:line="240" w:lineRule="auto"/>
      </w:pPr>
      <w:r>
        <w:continuationSeparator/>
      </w:r>
    </w:p>
  </w:footnote>
  <w:footnote w:id="1">
    <w:p w:rsidR="00F20A5E" w:rsidRDefault="00F20A5E" w:rsidP="00F20A5E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F20A5E" w:rsidRDefault="00F20A5E" w:rsidP="00F20A5E">
      <w:pPr>
        <w:pStyle w:val="afb"/>
      </w:pPr>
      <w:r w:rsidRPr="00555B4D">
        <w:rPr>
          <w:rStyle w:val="afd"/>
        </w:rPr>
        <w:footnoteRef/>
      </w:r>
      <w:r w:rsidRPr="00555B4D">
        <w:t xml:space="preserve"> Численность</w:t>
      </w:r>
      <w:r w:rsidRPr="00697820">
        <w:t xml:space="preserve"> населения заимствована из паспорта муниципального образования «</w:t>
      </w:r>
      <w:r>
        <w:t xml:space="preserve">Нижнепоповское </w:t>
      </w:r>
      <w:r w:rsidRPr="00697820">
        <w:t>сельское поселение» Белокалитвинского района</w:t>
      </w:r>
    </w:p>
  </w:footnote>
  <w:footnote w:id="3">
    <w:p w:rsidR="00F20A5E" w:rsidRDefault="00F20A5E" w:rsidP="00F20A5E">
      <w:pPr>
        <w:pStyle w:val="afb"/>
      </w:pPr>
      <w:r>
        <w:rPr>
          <w:rStyle w:val="afd"/>
        </w:rPr>
        <w:footnoteRef/>
      </w:r>
      <w:r>
        <w:t xml:space="preserve"> З</w:t>
      </w:r>
      <w:r w:rsidRPr="00697820">
        <w:t>аимствован</w:t>
      </w:r>
      <w:r>
        <w:t>о</w:t>
      </w:r>
      <w:r w:rsidRPr="00697820">
        <w:t xml:space="preserve"> из паспорта муниципального образования «</w:t>
      </w:r>
      <w:r>
        <w:t xml:space="preserve">Нижнепоповское </w:t>
      </w:r>
      <w:r w:rsidRPr="00697820">
        <w:t>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0BE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430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386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03C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2872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50C7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0A5E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4622"/>
  <w15:docId w15:val="{6EB9C13F-F6C5-4ADC-BD4C-018C355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91E9-9830-4DEA-AD2C-B89508A7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10857</Words>
  <Characters>61890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2025-04-07T09:47:00Z</cp:lastPrinted>
  <dcterms:created xsi:type="dcterms:W3CDTF">2025-04-07T09:47:00Z</dcterms:created>
  <dcterms:modified xsi:type="dcterms:W3CDTF">2025-04-14T09:19:00Z</dcterms:modified>
</cp:coreProperties>
</file>