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0400A6" w:rsidP="00573433">
      <w:pPr>
        <w:spacing w:before="120"/>
        <w:jc w:val="center"/>
        <w:rPr>
          <w:b/>
        </w:rPr>
      </w:pPr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6553BF">
        <w:rPr>
          <w:sz w:val="28"/>
          <w:szCs w:val="28"/>
        </w:rPr>
        <w:t>РАСПОРЯЖЕНИЕ</w:t>
      </w:r>
    </w:p>
    <w:p w:rsidR="00872883" w:rsidRPr="00C96E82" w:rsidRDefault="001E04C7" w:rsidP="00872883">
      <w:pPr>
        <w:spacing w:before="120"/>
        <w:rPr>
          <w:sz w:val="28"/>
        </w:rPr>
      </w:pPr>
      <w:r>
        <w:rPr>
          <w:sz w:val="28"/>
        </w:rPr>
        <w:t>28.09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400A6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№ </w:t>
      </w:r>
      <w:bookmarkStart w:id="1" w:name="Номер"/>
      <w:bookmarkEnd w:id="1"/>
      <w:r>
        <w:rPr>
          <w:sz w:val="28"/>
        </w:rPr>
        <w:t>120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6553BF" w:rsidRPr="00CB0A1C" w:rsidRDefault="006553BF" w:rsidP="001E04C7">
      <w:pPr>
        <w:ind w:right="5640"/>
        <w:jc w:val="both"/>
        <w:rPr>
          <w:rFonts w:eastAsia="Calibri"/>
          <w:kern w:val="2"/>
          <w:sz w:val="28"/>
          <w:szCs w:val="28"/>
          <w:lang w:eastAsia="en-US"/>
        </w:rPr>
      </w:pPr>
      <w:bookmarkStart w:id="2" w:name="Наименование"/>
      <w:bookmarkEnd w:id="2"/>
      <w:r w:rsidRPr="00CB0A1C">
        <w:rPr>
          <w:rFonts w:eastAsia="Calibri"/>
          <w:sz w:val="28"/>
          <w:szCs w:val="28"/>
          <w:lang w:eastAsia="en-US"/>
        </w:rPr>
        <w:t xml:space="preserve">Об утверждении Плана </w:t>
      </w:r>
      <w:r w:rsidRPr="00CB0A1C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1E04C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B0A1C">
        <w:rPr>
          <w:rFonts w:eastAsia="Calibri"/>
          <w:kern w:val="2"/>
          <w:sz w:val="28"/>
          <w:szCs w:val="28"/>
          <w:lang w:eastAsia="en-US"/>
        </w:rPr>
        <w:t>по росту доходного потенциала</w:t>
      </w:r>
      <w:r w:rsidR="001E04C7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1E04C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B0A1C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</w:p>
    <w:p w:rsidR="006553BF" w:rsidRPr="00CB0A1C" w:rsidRDefault="006553BF" w:rsidP="001E04C7">
      <w:pPr>
        <w:ind w:right="564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до 2020 года</w:t>
      </w:r>
    </w:p>
    <w:p w:rsidR="006553BF" w:rsidRPr="00CB0A1C" w:rsidRDefault="006553BF" w:rsidP="001E04C7">
      <w:pPr>
        <w:tabs>
          <w:tab w:val="left" w:pos="1995"/>
        </w:tabs>
        <w:rPr>
          <w:rFonts w:eastAsia="Calibri"/>
          <w:sz w:val="28"/>
          <w:szCs w:val="28"/>
          <w:lang w:eastAsia="en-US"/>
        </w:rPr>
      </w:pPr>
    </w:p>
    <w:p w:rsidR="006553BF" w:rsidRPr="00CB0A1C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bookmarkStart w:id="3" w:name="_GoBack"/>
      <w:bookmarkEnd w:id="3"/>
      <w:r w:rsidRPr="00CB0A1C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2.1.1.6 пункта 2 Соглашения между Министерством финансов Ростовской области и Администрацией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от 07.06.2017 № 4д:</w:t>
      </w:r>
    </w:p>
    <w:p w:rsidR="00872883" w:rsidRDefault="00872883" w:rsidP="001E04C7">
      <w:pPr>
        <w:ind w:right="6065"/>
        <w:jc w:val="both"/>
        <w:rPr>
          <w:sz w:val="28"/>
        </w:rPr>
      </w:pPr>
    </w:p>
    <w:p w:rsidR="006553BF" w:rsidRPr="006553BF" w:rsidRDefault="006553BF" w:rsidP="001E04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1. Утвердить План мероприятий по росту доходного потенциала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до 2020 года согласно приложению № 1.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2. Органам местного самоуправления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не устанавливать с 2018 года новых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к полномочиям органов местного самоуправления муниципальных районов.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4. Исполнительно-распорядительным органам местного самоуправления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осуществляющим функции и полномочия учредителя муниципальных бюджетных, автономных и казенных учреждений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разработать и в срок до </w:t>
      </w:r>
      <w:r w:rsidR="001E04C7">
        <w:rPr>
          <w:rFonts w:eastAsia="Calibri"/>
          <w:kern w:val="2"/>
          <w:sz w:val="28"/>
          <w:szCs w:val="28"/>
          <w:lang w:eastAsia="en-US"/>
        </w:rPr>
        <w:t>0</w:t>
      </w:r>
      <w:r w:rsidRPr="006553BF">
        <w:rPr>
          <w:rFonts w:eastAsia="Calibri"/>
          <w:kern w:val="2"/>
          <w:sz w:val="28"/>
          <w:szCs w:val="28"/>
          <w:lang w:eastAsia="en-US"/>
        </w:rPr>
        <w:t xml:space="preserve">1 ноября 2018 года внести на рассмотрение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муниципальные правовые акты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утверждающие примерные положения об оплате труда работников подведомственных учреждений в части </w:t>
      </w:r>
      <w:r w:rsidRPr="006553BF">
        <w:rPr>
          <w:rFonts w:eastAsia="Calibri"/>
          <w:kern w:val="2"/>
          <w:sz w:val="28"/>
          <w:szCs w:val="28"/>
          <w:lang w:eastAsia="en-US"/>
        </w:rPr>
        <w:lastRenderedPageBreak/>
        <w:t xml:space="preserve">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5. Финансовому управлению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(Демиденко В.И.) совместно с органами местного самоуправления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6. Главным распорядителям средств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представлять в финансовое управление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района: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6.1. Ежеквартально, не позднее 10 дней по истечении отчетного периода, </w:t>
      </w:r>
      <w:hyperlink r:id="rId8" w:history="1">
        <w:r w:rsidRPr="006553BF">
          <w:rPr>
            <w:rFonts w:eastAsia="Calibri"/>
            <w:kern w:val="2"/>
            <w:sz w:val="28"/>
            <w:szCs w:val="28"/>
            <w:lang w:eastAsia="en-US"/>
          </w:rPr>
          <w:t>отчет</w:t>
        </w:r>
      </w:hyperlink>
      <w:r w:rsidRPr="006553BF">
        <w:rPr>
          <w:sz w:val="28"/>
          <w:szCs w:val="28"/>
        </w:rPr>
        <w:t xml:space="preserve"> </w:t>
      </w:r>
      <w:r w:rsidRPr="006553BF">
        <w:rPr>
          <w:rFonts w:eastAsia="Calibri"/>
          <w:kern w:val="2"/>
          <w:sz w:val="28"/>
          <w:szCs w:val="28"/>
          <w:lang w:eastAsia="en-US"/>
        </w:rPr>
        <w:t xml:space="preserve">об исполнении Плана мероприятий по росту доходного потенциала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до 2020 года по форме согласно приложению № 2.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6.2. В срок до 25 декабря 2018 года </w:t>
      </w:r>
      <w:hyperlink r:id="rId9" w:history="1">
        <w:r w:rsidRPr="006553BF">
          <w:rPr>
            <w:rFonts w:eastAsia="Calibri"/>
            <w:kern w:val="2"/>
            <w:sz w:val="28"/>
            <w:szCs w:val="28"/>
            <w:lang w:eastAsia="en-US"/>
          </w:rPr>
          <w:t>информацию</w:t>
        </w:r>
      </w:hyperlink>
      <w:r w:rsidRPr="006553BF">
        <w:rPr>
          <w:sz w:val="28"/>
          <w:szCs w:val="28"/>
        </w:rPr>
        <w:t xml:space="preserve"> </w:t>
      </w:r>
      <w:r w:rsidRPr="006553BF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до 2020 года по форме согласно приложению № 3.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7. Главным распорядителям средств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дополнительно проработать вопрос усиления мероприятий по разделу </w:t>
      </w:r>
      <w:r w:rsidRPr="006553BF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6553BF">
        <w:rPr>
          <w:rFonts w:eastAsia="Calibri"/>
          <w:kern w:val="2"/>
          <w:sz w:val="28"/>
          <w:szCs w:val="28"/>
          <w:lang w:eastAsia="en-US"/>
        </w:rPr>
        <w:t xml:space="preserve"> «Направления по оптимизации расходов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района» Плана мероприятий по росту доходного потенциала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до 2020 года (далее – План мероприятий) и представить в финансовое управление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предложения о внесении изменений в План мероприятий в срок до </w:t>
      </w:r>
      <w:r w:rsidR="001E04C7">
        <w:rPr>
          <w:rFonts w:eastAsia="Calibri"/>
          <w:kern w:val="2"/>
          <w:sz w:val="28"/>
          <w:szCs w:val="28"/>
          <w:lang w:eastAsia="en-US"/>
        </w:rPr>
        <w:t>0</w:t>
      </w:r>
      <w:r w:rsidRPr="006553BF">
        <w:rPr>
          <w:rFonts w:eastAsia="Calibri"/>
          <w:kern w:val="2"/>
          <w:sz w:val="28"/>
          <w:szCs w:val="28"/>
          <w:lang w:eastAsia="en-US"/>
        </w:rPr>
        <w:t>1 декабря 2018 года.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>8. </w:t>
      </w:r>
      <w:r w:rsidRPr="006553BF">
        <w:rPr>
          <w:kern w:val="2"/>
          <w:sz w:val="28"/>
          <w:szCs w:val="28"/>
        </w:rPr>
        <w:t xml:space="preserve">Рекомендовать органам местного самоуправления поселений, входящих в состав </w:t>
      </w:r>
      <w:proofErr w:type="spellStart"/>
      <w:r w:rsidRPr="006553BF">
        <w:rPr>
          <w:kern w:val="2"/>
          <w:sz w:val="28"/>
          <w:szCs w:val="28"/>
        </w:rPr>
        <w:t>Белокалитвинского</w:t>
      </w:r>
      <w:proofErr w:type="spellEnd"/>
      <w:r w:rsidRPr="006553BF">
        <w:rPr>
          <w:kern w:val="2"/>
          <w:sz w:val="28"/>
          <w:szCs w:val="28"/>
        </w:rPr>
        <w:t xml:space="preserve"> района, привести муниципальные правовые акты об утверждении программ оптимизации расходов местных бюджетов, а также правовые акты, утверждающие примерные положения об оплате труда работников муниципальных учреждений, в соответствие с положениями настоящего распоряжения, в том числе включая установление запрета на увеличение численности муниципальных служащих.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9. Финансовому управлению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(Демиденко В.И.) направлять в Министерство финансов Ростовской области ежеквартально, не позднее 20 дней по истечении отчетного периода, отчет об исполнении Плана мероприятий.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10. Признать утратившими силу распоряжения Администрации </w:t>
      </w:r>
      <w:proofErr w:type="spellStart"/>
      <w:r w:rsidRPr="006553BF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6553BF">
        <w:rPr>
          <w:rFonts w:eastAsia="Calibri"/>
          <w:kern w:val="2"/>
          <w:sz w:val="28"/>
          <w:szCs w:val="28"/>
          <w:lang w:eastAsia="en-US"/>
        </w:rPr>
        <w:t xml:space="preserve"> района по Перечню согласно приложению № 4.</w:t>
      </w:r>
    </w:p>
    <w:p w:rsidR="006553BF" w:rsidRPr="006553BF" w:rsidRDefault="006553BF" w:rsidP="001E0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lastRenderedPageBreak/>
        <w:t>11. Настоящее распоряжение вступает в силу со дня его официального опубликования.</w:t>
      </w:r>
    </w:p>
    <w:p w:rsidR="00872883" w:rsidRPr="006553BF" w:rsidRDefault="006553BF" w:rsidP="001E04C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553BF">
        <w:rPr>
          <w:rFonts w:eastAsia="Calibri"/>
          <w:kern w:val="2"/>
          <w:sz w:val="28"/>
          <w:szCs w:val="28"/>
          <w:lang w:eastAsia="en-US"/>
        </w:rPr>
        <w:t xml:space="preserve">12. Контроль за исполнением настоящего распоряжения возложить </w:t>
      </w:r>
      <w:r w:rsidRPr="006553BF">
        <w:rPr>
          <w:color w:val="000000"/>
          <w:kern w:val="2"/>
          <w:sz w:val="28"/>
          <w:szCs w:val="28"/>
        </w:rPr>
        <w:t xml:space="preserve">на первого заместителя главы Администрации </w:t>
      </w:r>
      <w:proofErr w:type="spellStart"/>
      <w:r w:rsidRPr="006553BF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6553BF">
        <w:rPr>
          <w:color w:val="000000"/>
          <w:kern w:val="2"/>
          <w:sz w:val="28"/>
          <w:szCs w:val="28"/>
        </w:rPr>
        <w:t xml:space="preserve"> района, заместителей главы Администрации </w:t>
      </w:r>
      <w:proofErr w:type="spellStart"/>
      <w:r w:rsidRPr="006553BF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6553BF">
        <w:rPr>
          <w:color w:val="000000"/>
          <w:kern w:val="2"/>
          <w:sz w:val="28"/>
          <w:szCs w:val="28"/>
        </w:rPr>
        <w:t xml:space="preserve"> района, руководителей исполнительно - распорядительных органов местного самоуправления </w:t>
      </w:r>
      <w:proofErr w:type="spellStart"/>
      <w:r w:rsidRPr="006553BF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6553BF">
        <w:rPr>
          <w:color w:val="000000"/>
          <w:kern w:val="2"/>
          <w:sz w:val="28"/>
          <w:szCs w:val="28"/>
        </w:rPr>
        <w:t xml:space="preserve"> района в пределах предоставленных полномочий по курируемым направлениям</w:t>
      </w:r>
      <w:r w:rsidRPr="006553BF">
        <w:rPr>
          <w:rFonts w:eastAsia="Calibri"/>
          <w:kern w:val="2"/>
          <w:sz w:val="28"/>
          <w:szCs w:val="28"/>
          <w:lang w:eastAsia="en-US"/>
        </w:rPr>
        <w:t>.</w:t>
      </w:r>
    </w:p>
    <w:p w:rsidR="00F4755E" w:rsidRDefault="00F4755E" w:rsidP="00872883">
      <w:pPr>
        <w:pStyle w:val="2"/>
        <w:rPr>
          <w:b w:val="0"/>
        </w:rPr>
      </w:pPr>
    </w:p>
    <w:p w:rsidR="001E04C7" w:rsidRDefault="001E04C7" w:rsidP="001E04C7"/>
    <w:p w:rsidR="001E04C7" w:rsidRPr="001E04C7" w:rsidRDefault="001E04C7" w:rsidP="001E04C7"/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  <w:sectPr w:rsidR="006553BF" w:rsidSect="00D129B6">
          <w:footerReference w:type="default" r:id="rId10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lastRenderedPageBreak/>
        <w:t>Приложение № 1</w:t>
      </w:r>
    </w:p>
    <w:p w:rsidR="006553BF" w:rsidRPr="00CB0A1C" w:rsidRDefault="006553BF" w:rsidP="001E04C7">
      <w:pPr>
        <w:ind w:left="11340" w:hanging="2551"/>
        <w:jc w:val="right"/>
        <w:rPr>
          <w:sz w:val="28"/>
          <w:szCs w:val="28"/>
        </w:rPr>
      </w:pPr>
      <w:r w:rsidRPr="00CB0A1C">
        <w:rPr>
          <w:sz w:val="28"/>
          <w:szCs w:val="28"/>
        </w:rPr>
        <w:t>к распоряжению</w:t>
      </w:r>
      <w:r w:rsidR="001E04C7">
        <w:rPr>
          <w:sz w:val="28"/>
          <w:szCs w:val="28"/>
        </w:rPr>
        <w:t xml:space="preserve"> </w:t>
      </w:r>
      <w:r w:rsidRPr="00CB0A1C">
        <w:rPr>
          <w:sz w:val="28"/>
          <w:szCs w:val="28"/>
        </w:rPr>
        <w:t xml:space="preserve">Администрации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proofErr w:type="spellStart"/>
      <w:r w:rsidRPr="00CB0A1C">
        <w:rPr>
          <w:sz w:val="28"/>
          <w:szCs w:val="28"/>
        </w:rPr>
        <w:t>Белокалитвинского</w:t>
      </w:r>
      <w:proofErr w:type="spellEnd"/>
      <w:r w:rsidRPr="00CB0A1C">
        <w:rPr>
          <w:sz w:val="28"/>
          <w:szCs w:val="28"/>
        </w:rPr>
        <w:t xml:space="preserve"> района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4C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CB0A1C">
        <w:rPr>
          <w:sz w:val="28"/>
          <w:szCs w:val="28"/>
        </w:rPr>
        <w:t>.2018 №</w:t>
      </w:r>
      <w:r w:rsidR="001E04C7">
        <w:rPr>
          <w:sz w:val="28"/>
          <w:szCs w:val="28"/>
        </w:rPr>
        <w:t xml:space="preserve"> 120</w:t>
      </w:r>
    </w:p>
    <w:p w:rsidR="006553BF" w:rsidRPr="00CB0A1C" w:rsidRDefault="006553BF" w:rsidP="006553BF">
      <w:pPr>
        <w:jc w:val="right"/>
        <w:rPr>
          <w:b/>
          <w:bCs/>
          <w:sz w:val="28"/>
          <w:szCs w:val="28"/>
        </w:rPr>
      </w:pPr>
    </w:p>
    <w:p w:rsidR="006553BF" w:rsidRPr="00CB0A1C" w:rsidRDefault="006553BF" w:rsidP="006553BF">
      <w:pPr>
        <w:jc w:val="right"/>
        <w:rPr>
          <w:b/>
          <w:bCs/>
          <w:sz w:val="28"/>
          <w:szCs w:val="28"/>
        </w:rPr>
      </w:pPr>
    </w:p>
    <w:p w:rsidR="006553BF" w:rsidRDefault="006553BF" w:rsidP="006553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6553BF" w:rsidRPr="00CB0A1C" w:rsidRDefault="006553BF" w:rsidP="006553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росту доходного потенциала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района, </w:t>
      </w:r>
      <w:r w:rsidRPr="00CB0A1C">
        <w:rPr>
          <w:bCs/>
          <w:sz w:val="28"/>
          <w:szCs w:val="28"/>
        </w:rPr>
        <w:t>оптимизации расходов</w:t>
      </w:r>
      <w:r>
        <w:rPr>
          <w:bCs/>
          <w:sz w:val="28"/>
          <w:szCs w:val="28"/>
        </w:rPr>
        <w:t xml:space="preserve"> </w:t>
      </w:r>
      <w:r w:rsidRPr="00CB0A1C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CB0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сокращению муниципального долга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 до 2020</w:t>
      </w:r>
      <w:r w:rsidRPr="00CB0A1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6553BF" w:rsidRPr="00CB0A1C" w:rsidRDefault="006553BF" w:rsidP="006553BF">
      <w:pPr>
        <w:jc w:val="center"/>
        <w:rPr>
          <w:b/>
          <w:bCs/>
          <w:sz w:val="28"/>
          <w:szCs w:val="28"/>
        </w:rPr>
      </w:pPr>
    </w:p>
    <w:tbl>
      <w:tblPr>
        <w:tblW w:w="514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"/>
        <w:gridCol w:w="5501"/>
        <w:gridCol w:w="41"/>
        <w:gridCol w:w="2743"/>
        <w:gridCol w:w="10"/>
        <w:gridCol w:w="1983"/>
        <w:gridCol w:w="1239"/>
        <w:gridCol w:w="1238"/>
        <w:gridCol w:w="1375"/>
      </w:tblGrid>
      <w:tr w:rsidR="006553BF" w:rsidRPr="00CB0A1C" w:rsidTr="005C092B">
        <w:trPr>
          <w:trHeight w:val="503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Финансовая оценка</w:t>
            </w:r>
          </w:p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 xml:space="preserve">(бюджетный эффект) </w:t>
            </w:r>
          </w:p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(тыс. рублей) *</w:t>
            </w:r>
          </w:p>
        </w:tc>
      </w:tr>
      <w:tr w:rsidR="006553BF" w:rsidRPr="00CB0A1C" w:rsidTr="005C092B">
        <w:trPr>
          <w:trHeight w:val="147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ind w:right="125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2020 год</w:t>
            </w:r>
          </w:p>
        </w:tc>
      </w:tr>
      <w:tr w:rsidR="006553BF" w:rsidRPr="00CB0A1C" w:rsidTr="005C092B">
        <w:trPr>
          <w:trHeight w:val="14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ind w:right="125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  <w:lang w:val="en-US"/>
              </w:rPr>
              <w:t>I</w:t>
            </w:r>
            <w:r w:rsidRPr="00CB0A1C">
              <w:rPr>
                <w:kern w:val="2"/>
                <w:sz w:val="28"/>
                <w:szCs w:val="28"/>
              </w:rPr>
              <w:t xml:space="preserve">.Направления по росту доходов бюджета </w:t>
            </w:r>
            <w:proofErr w:type="spellStart"/>
            <w:r w:rsidRPr="00CB0A1C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rPr>
                <w:bCs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 xml:space="preserve">Всего по </w:t>
            </w:r>
            <w:proofErr w:type="gramStart"/>
            <w:r w:rsidRPr="00CB0A1C">
              <w:rPr>
                <w:bCs/>
                <w:sz w:val="28"/>
                <w:szCs w:val="28"/>
              </w:rPr>
              <w:t xml:space="preserve">разделу </w:t>
            </w:r>
            <w:r w:rsidRPr="00CB0A1C">
              <w:rPr>
                <w:bCs/>
                <w:sz w:val="28"/>
                <w:szCs w:val="28"/>
                <w:lang w:val="en-US"/>
              </w:rPr>
              <w:t xml:space="preserve"> I</w:t>
            </w:r>
            <w:proofErr w:type="gramEnd"/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32 192,4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ind w:right="12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33 259,7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1.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ind w:right="125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Мероприятия по расширению налогооблагаемой базы бюджета </w:t>
            </w:r>
            <w:proofErr w:type="spellStart"/>
            <w:r w:rsidRPr="00CB0A1C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rPr>
          <w:trHeight w:val="19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1.1.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both"/>
              <w:rPr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 xml:space="preserve">- организация и проведение заседаний межведомственной комиссии </w:t>
            </w:r>
            <w:proofErr w:type="spellStart"/>
            <w:r w:rsidRPr="00CB0A1C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bCs/>
                <w:sz w:val="28"/>
                <w:szCs w:val="28"/>
              </w:rPr>
              <w:t xml:space="preserve"> района по организации взаимодействия государственных органов и органов местного самоуправления при осуществлении контроля за соблюдением трудового законодательства и координации деятельности по снижению неформальной занятости с целью </w:t>
            </w:r>
            <w:r w:rsidRPr="00CB0A1C">
              <w:rPr>
                <w:sz w:val="28"/>
                <w:szCs w:val="28"/>
              </w:rPr>
              <w:t>предотвращения фактов выплаты «теневой» заработной платы, расширения (легализации) налоговой базы по НДФЛ;</w:t>
            </w:r>
          </w:p>
          <w:p w:rsidR="006553BF" w:rsidRPr="00CB0A1C" w:rsidRDefault="006553BF" w:rsidP="005C092B">
            <w:pPr>
              <w:jc w:val="both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- работа телефонов «горячей линии» для</w:t>
            </w:r>
          </w:p>
          <w:p w:rsidR="006553BF" w:rsidRPr="00CB0A1C" w:rsidRDefault="006553BF" w:rsidP="005C092B">
            <w:pPr>
              <w:jc w:val="both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lastRenderedPageBreak/>
              <w:t>направления сообщений о фактах выплаты заработной платы «в конвертах», отсутствия оформления трудовых отношений в соответствии с трудовым законодательством в целях определения признаков налоговых злоупотреблений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lastRenderedPageBreak/>
              <w:t xml:space="preserve">Отдел экономики, малого бизнеса и местного самоуправления администрации </w:t>
            </w:r>
            <w:proofErr w:type="spellStart"/>
            <w:r w:rsidRPr="00CB0A1C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Ежеквартально</w:t>
            </w: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</w:p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lastRenderedPageBreak/>
              <w:t>7</w:t>
            </w:r>
            <w:r>
              <w:rPr>
                <w:bCs/>
                <w:sz w:val="28"/>
                <w:szCs w:val="28"/>
              </w:rPr>
              <w:t xml:space="preserve"> 3</w:t>
            </w:r>
            <w:r w:rsidRPr="00CB0A1C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7 6</w:t>
            </w:r>
            <w:r w:rsidRPr="00CB0A1C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8 0</w:t>
            </w:r>
            <w:r w:rsidRPr="00CB0A1C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1.2.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Проведение инвентаризации имущества, находящегося в собственности муниципального образования «</w:t>
            </w:r>
            <w:proofErr w:type="spellStart"/>
            <w:r w:rsidRPr="00CB0A1C">
              <w:rPr>
                <w:sz w:val="28"/>
                <w:szCs w:val="28"/>
              </w:rPr>
              <w:t>Белокалитвинский</w:t>
            </w:r>
            <w:proofErr w:type="spellEnd"/>
            <w:r w:rsidRPr="00CB0A1C">
              <w:rPr>
                <w:sz w:val="28"/>
                <w:szCs w:val="28"/>
              </w:rPr>
              <w:t xml:space="preserve"> район»:</w:t>
            </w:r>
          </w:p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 систематизация сведений о наличии имущества, находящегося в собственности муниципального образования «</w:t>
            </w:r>
            <w:proofErr w:type="spellStart"/>
            <w:r w:rsidRPr="00CB0A1C">
              <w:rPr>
                <w:sz w:val="28"/>
                <w:szCs w:val="28"/>
              </w:rPr>
              <w:t>Белокалитвинский</w:t>
            </w:r>
            <w:proofErr w:type="spellEnd"/>
            <w:r w:rsidRPr="00CB0A1C">
              <w:rPr>
                <w:sz w:val="28"/>
                <w:szCs w:val="28"/>
              </w:rPr>
              <w:t xml:space="preserve"> район» и его использовании; </w:t>
            </w:r>
          </w:p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 выявление неиспользованного имущества, установление направления эффективного его использования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pStyle w:val="ConsPlusNormal"/>
              <w:spacing w:line="216" w:lineRule="auto"/>
              <w:jc w:val="center"/>
            </w:pPr>
            <w:r w:rsidRPr="00CB0A1C">
              <w:t xml:space="preserve">Комитет по управлению имуществом Администрации </w:t>
            </w:r>
            <w:proofErr w:type="spellStart"/>
            <w:r w:rsidRPr="00CB0A1C">
              <w:t>Белокалитвинского</w:t>
            </w:r>
            <w:proofErr w:type="spellEnd"/>
            <w:r w:rsidRPr="00CB0A1C"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62,0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Реализация в полном объеме прогнозного (утвержденного) плана приватизации муниципального имущества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pStyle w:val="ConsPlusNormal"/>
              <w:spacing w:line="216" w:lineRule="auto"/>
              <w:jc w:val="center"/>
            </w:pPr>
            <w:r w:rsidRPr="00CB0A1C">
              <w:t xml:space="preserve">Комитет по управлению имуществом Администрации </w:t>
            </w:r>
            <w:proofErr w:type="spellStart"/>
            <w:r w:rsidRPr="00CB0A1C">
              <w:t>Белокалитвинского</w:t>
            </w:r>
            <w:proofErr w:type="spellEnd"/>
            <w:r w:rsidRPr="00CB0A1C"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pacing w:val="-20"/>
                <w:sz w:val="28"/>
                <w:szCs w:val="28"/>
              </w:rPr>
            </w:pPr>
            <w:r w:rsidRPr="00CB0A1C">
              <w:rPr>
                <w:spacing w:val="-20"/>
                <w:sz w:val="28"/>
                <w:szCs w:val="28"/>
              </w:rPr>
              <w:t>1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CB0A1C">
              <w:rPr>
                <w:spacing w:val="-20"/>
                <w:sz w:val="28"/>
                <w:szCs w:val="28"/>
              </w:rPr>
              <w:t>237,1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pacing w:val="-20"/>
                <w:sz w:val="28"/>
                <w:szCs w:val="28"/>
              </w:rPr>
              <w:t>835,5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810,5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Вовлечение в неналоговый оборот неиспользуемых земельных участков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pStyle w:val="ConsPlusNormal"/>
              <w:spacing w:line="216" w:lineRule="auto"/>
              <w:jc w:val="center"/>
            </w:pPr>
            <w:r w:rsidRPr="00CB0A1C">
              <w:t xml:space="preserve">Комитет по управлению </w:t>
            </w:r>
            <w:r w:rsidRPr="00CB0A1C">
              <w:lastRenderedPageBreak/>
              <w:t xml:space="preserve">имуществом Администрации </w:t>
            </w:r>
            <w:proofErr w:type="spellStart"/>
            <w:r w:rsidRPr="00CB0A1C">
              <w:t>Белокалитвинского</w:t>
            </w:r>
            <w:proofErr w:type="spellEnd"/>
            <w:r w:rsidRPr="00CB0A1C"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rFonts w:eastAsia="Calibri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pacing w:val="-20"/>
                <w:sz w:val="28"/>
                <w:szCs w:val="28"/>
              </w:rPr>
            </w:pPr>
            <w:r w:rsidRPr="00CB0A1C">
              <w:rPr>
                <w:spacing w:val="-20"/>
                <w:sz w:val="28"/>
                <w:szCs w:val="28"/>
              </w:rPr>
              <w:t>259,7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212,6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CB0A1C">
              <w:rPr>
                <w:sz w:val="28"/>
                <w:szCs w:val="28"/>
              </w:rPr>
              <w:t>вопроса  о</w:t>
            </w:r>
            <w:proofErr w:type="gramEnd"/>
            <w:r w:rsidRPr="00CB0A1C">
              <w:rPr>
                <w:sz w:val="28"/>
                <w:szCs w:val="28"/>
              </w:rPr>
              <w:t xml:space="preserve"> повышении размера части прибыли муниципальных унитарных предприятий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района, подлежащей перечислению в бюджет муниципального района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pStyle w:val="ConsPlusNormal"/>
              <w:spacing w:line="216" w:lineRule="auto"/>
              <w:jc w:val="center"/>
            </w:pPr>
            <w:r w:rsidRPr="00CB0A1C">
              <w:t xml:space="preserve">Комитет по управлению имуществом Администрации </w:t>
            </w:r>
            <w:proofErr w:type="spellStart"/>
            <w:r w:rsidRPr="00CB0A1C">
              <w:t>Белокалитвинского</w:t>
            </w:r>
            <w:proofErr w:type="spellEnd"/>
            <w:r w:rsidRPr="00CB0A1C"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B0A1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pacing w:val="-20"/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174,6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Мероприятия по повышению собираемости налоговых и неналоговых доходов бюджета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rPr>
                <w:color w:val="000000"/>
                <w:sz w:val="28"/>
                <w:szCs w:val="28"/>
              </w:rPr>
            </w:pPr>
            <w:r w:rsidRPr="00CB0A1C">
              <w:rPr>
                <w:color w:val="000000"/>
                <w:sz w:val="28"/>
                <w:szCs w:val="28"/>
              </w:rPr>
              <w:t>Организация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Правительства Ростовской области от 12.07.2012 № 626 «О создании Координационного совета по вопросам собираемости налогов и других обязательных платежей»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color w:val="000000"/>
                <w:sz w:val="28"/>
                <w:szCs w:val="28"/>
              </w:rPr>
            </w:pPr>
            <w:r w:rsidRPr="00CB0A1C">
              <w:rPr>
                <w:color w:val="000000"/>
                <w:sz w:val="28"/>
                <w:szCs w:val="28"/>
              </w:rPr>
              <w:t xml:space="preserve">Отдел экономики, малого бизнеса и местного самоуправления администрации </w:t>
            </w:r>
            <w:proofErr w:type="spellStart"/>
            <w:r w:rsidRPr="00CB0A1C"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color w:val="000000"/>
                <w:sz w:val="28"/>
                <w:szCs w:val="28"/>
              </w:rPr>
            </w:pPr>
            <w:r w:rsidRPr="00CB0A1C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color w:val="000000"/>
                <w:sz w:val="28"/>
                <w:szCs w:val="28"/>
              </w:rPr>
            </w:pPr>
            <w:r w:rsidRPr="00CB0A1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B0A1C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color w:val="000000"/>
                <w:sz w:val="28"/>
                <w:szCs w:val="28"/>
              </w:rPr>
            </w:pPr>
            <w:r w:rsidRPr="00CB0A1C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B0A1C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color w:val="000000"/>
                <w:sz w:val="28"/>
                <w:szCs w:val="28"/>
              </w:rPr>
            </w:pPr>
            <w:r w:rsidRPr="00CB0A1C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B0A1C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553BF" w:rsidRPr="00CB0A1C" w:rsidTr="005C092B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Проведение работы по контролю за своевременностью </w:t>
            </w:r>
            <w:proofErr w:type="gramStart"/>
            <w:r w:rsidRPr="00CB0A1C">
              <w:rPr>
                <w:sz w:val="28"/>
                <w:szCs w:val="28"/>
              </w:rPr>
              <w:t>перечисления  средств</w:t>
            </w:r>
            <w:proofErr w:type="gramEnd"/>
            <w:r w:rsidRPr="00CB0A1C">
              <w:rPr>
                <w:sz w:val="28"/>
                <w:szCs w:val="28"/>
              </w:rPr>
              <w:t xml:space="preserve"> от аренды муниципального имущества, земельных участков, ликвидация задолженности (в том числе по арендной плате за земельные участки, государственная собственность на которые </w:t>
            </w:r>
            <w:r w:rsidRPr="00CB0A1C">
              <w:rPr>
                <w:sz w:val="28"/>
                <w:szCs w:val="28"/>
              </w:rPr>
              <w:lastRenderedPageBreak/>
              <w:t xml:space="preserve">не разграничена), проведение </w:t>
            </w:r>
            <w:proofErr w:type="spellStart"/>
            <w:r w:rsidRPr="00CB0A1C">
              <w:rPr>
                <w:sz w:val="28"/>
                <w:szCs w:val="28"/>
              </w:rPr>
              <w:t>претензионно</w:t>
            </w:r>
            <w:proofErr w:type="spellEnd"/>
            <w:r w:rsidRPr="00CB0A1C">
              <w:rPr>
                <w:sz w:val="28"/>
                <w:szCs w:val="28"/>
              </w:rPr>
              <w:t>-исковой работы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pStyle w:val="ConsPlusNormal"/>
              <w:spacing w:line="216" w:lineRule="auto"/>
              <w:jc w:val="center"/>
            </w:pPr>
            <w:r w:rsidRPr="00CB0A1C">
              <w:lastRenderedPageBreak/>
              <w:t xml:space="preserve">Комитет по управлению имуществом Администрации </w:t>
            </w:r>
            <w:proofErr w:type="spellStart"/>
            <w:r w:rsidRPr="00CB0A1C">
              <w:t>Белокалитвинского</w:t>
            </w:r>
            <w:proofErr w:type="spellEnd"/>
            <w:r w:rsidRPr="00CB0A1C"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pacing w:val="-20"/>
                <w:sz w:val="28"/>
                <w:szCs w:val="28"/>
              </w:rPr>
            </w:pPr>
            <w:r w:rsidRPr="00CB0A1C">
              <w:rPr>
                <w:spacing w:val="-20"/>
                <w:sz w:val="28"/>
                <w:szCs w:val="28"/>
              </w:rPr>
              <w:t>1280,2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1000,0</w:t>
            </w:r>
          </w:p>
        </w:tc>
      </w:tr>
      <w:tr w:rsidR="006553BF" w:rsidRPr="00CB0A1C" w:rsidTr="005C092B">
        <w:trPr>
          <w:trHeight w:val="4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  <w:lang w:val="en-US"/>
              </w:rPr>
              <w:t>II</w:t>
            </w:r>
            <w:r w:rsidRPr="00CB0A1C">
              <w:rPr>
                <w:bCs/>
                <w:sz w:val="28"/>
                <w:szCs w:val="28"/>
              </w:rPr>
              <w:t xml:space="preserve">. Направления по оптимизации расходов бюджета </w:t>
            </w:r>
            <w:proofErr w:type="spellStart"/>
            <w:r w:rsidRPr="00CB0A1C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rPr>
          <w:trHeight w:val="4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32" w:lineRule="auto"/>
              <w:rPr>
                <w:bCs/>
                <w:sz w:val="28"/>
                <w:szCs w:val="28"/>
                <w:lang w:val="en-US"/>
              </w:rPr>
            </w:pPr>
            <w:r w:rsidRPr="00CB0A1C">
              <w:rPr>
                <w:bCs/>
                <w:sz w:val="28"/>
                <w:szCs w:val="28"/>
              </w:rPr>
              <w:t xml:space="preserve">Всего по </w:t>
            </w:r>
            <w:proofErr w:type="gramStart"/>
            <w:r w:rsidRPr="00CB0A1C">
              <w:rPr>
                <w:bCs/>
                <w:sz w:val="28"/>
                <w:szCs w:val="28"/>
              </w:rPr>
              <w:t xml:space="preserve">разделу </w:t>
            </w:r>
            <w:r w:rsidRPr="00CB0A1C">
              <w:rPr>
                <w:bCs/>
                <w:sz w:val="28"/>
                <w:szCs w:val="28"/>
                <w:lang w:val="en-US"/>
              </w:rPr>
              <w:t xml:space="preserve"> II</w:t>
            </w:r>
            <w:proofErr w:type="gramEnd"/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5 936,0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5 880,7</w:t>
            </w:r>
          </w:p>
        </w:tc>
      </w:tr>
      <w:tr w:rsidR="006553BF" w:rsidRPr="00CB0A1C" w:rsidTr="005C092B">
        <w:trPr>
          <w:trHeight w:val="4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Расходные обязательства, возникшие в результате принятия муниципальных правовых актов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района,</w:t>
            </w:r>
          </w:p>
          <w:p w:rsidR="006553BF" w:rsidRPr="00CB0A1C" w:rsidRDefault="006553BF" w:rsidP="005C09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заключения договоров (соглашений) по предметам совместного ведения Ростовской области 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1.1.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Увеличение объема доходов от внебюджетной деятельности муниципальных бюджетных и автономных учреждений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 (по отрасли здравоохранение)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2 000,0</w:t>
            </w:r>
          </w:p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500,0</w:t>
            </w:r>
          </w:p>
        </w:tc>
      </w:tr>
      <w:tr w:rsidR="006553BF" w:rsidRPr="00CB0A1C" w:rsidTr="005C092B">
        <w:trPr>
          <w:trHeight w:val="11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600,0</w:t>
            </w:r>
          </w:p>
        </w:tc>
      </w:tr>
      <w:tr w:rsidR="006553BF" w:rsidRPr="00CB0A1C" w:rsidTr="005C092B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117,2</w:t>
            </w:r>
          </w:p>
        </w:tc>
      </w:tr>
      <w:tr w:rsidR="006553BF" w:rsidRPr="00CB0A1C" w:rsidTr="005C092B"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BF" w:rsidRPr="00CB0A1C" w:rsidRDefault="006553BF" w:rsidP="005C092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2 077,0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1 877,0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1 377,0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Анализ штатных расписаний муниципальных учреждений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района, в том числе принятие мер по сокращению штатной численности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523,2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B0A1C">
              <w:rPr>
                <w:sz w:val="28"/>
                <w:szCs w:val="28"/>
              </w:rPr>
              <w:t>586,1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B0A1C">
              <w:rPr>
                <w:sz w:val="28"/>
                <w:szCs w:val="28"/>
              </w:rPr>
              <w:t>586,1</w:t>
            </w:r>
          </w:p>
        </w:tc>
      </w:tr>
      <w:tr w:rsidR="006553BF" w:rsidRPr="00CB0A1C" w:rsidTr="005C092B">
        <w:trPr>
          <w:trHeight w:val="11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352,4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352,4</w:t>
            </w:r>
          </w:p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1.3.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Анализ эффективности использования имущества, находящегося в муниципальной собственности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комитет по управлению имуществом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</w:tr>
      <w:tr w:rsidR="006553BF" w:rsidRPr="00CB0A1C" w:rsidTr="005C092B">
        <w:trPr>
          <w:trHeight w:val="12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1.4.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both"/>
              <w:rPr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Реорганизация муниципальных учреждений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  <w:r w:rsidRPr="00CB0A1C">
              <w:rPr>
                <w:kern w:val="2"/>
                <w:sz w:val="28"/>
                <w:szCs w:val="28"/>
              </w:rPr>
              <w:t xml:space="preserve"> путем слияния, присоединения, изменения типа учреждений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525,4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B0A1C">
              <w:rPr>
                <w:sz w:val="28"/>
                <w:szCs w:val="28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B0A1C">
              <w:rPr>
                <w:sz w:val="28"/>
                <w:szCs w:val="28"/>
              </w:rPr>
              <w:t>348,0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Default="006553BF" w:rsidP="005C0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Расходные обязательства, возникшие в результате принятия муниципальных правовых актов </w:t>
            </w:r>
          </w:p>
          <w:p w:rsidR="006553BF" w:rsidRPr="00CB0A1C" w:rsidRDefault="006553BF" w:rsidP="005C0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района,</w:t>
            </w:r>
          </w:p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по предметам ведения Ростовской области 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2.1.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both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Установление принципа адресности и критериев нуждаемости при предоставлении бесплатного питания обучающимся в образовательных учреждениях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25 декабря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Расходные обязательства, возникшие в результате принятия муниципальных правовых актов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района,</w:t>
            </w:r>
          </w:p>
          <w:p w:rsidR="006553BF" w:rsidRPr="00CB0A1C" w:rsidRDefault="006553BF" w:rsidP="005C092B">
            <w:pPr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предусматривающих предоставление из бюджета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района, межбюджетных трансфертов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3.1.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Использование экономически эффективных проектов повторного использования, позволяющих сэкономить средства на разработку проектов </w:t>
            </w:r>
            <w:proofErr w:type="gramStart"/>
            <w:r w:rsidRPr="00CB0A1C">
              <w:rPr>
                <w:kern w:val="2"/>
                <w:sz w:val="28"/>
                <w:szCs w:val="28"/>
              </w:rPr>
              <w:t>и  привлечь</w:t>
            </w:r>
            <w:proofErr w:type="gramEnd"/>
            <w:r w:rsidRPr="00CB0A1C">
              <w:rPr>
                <w:kern w:val="2"/>
                <w:sz w:val="28"/>
                <w:szCs w:val="28"/>
              </w:rPr>
              <w:t xml:space="preserve"> средства федерального и областного бюджетов на </w:t>
            </w:r>
            <w:proofErr w:type="spellStart"/>
            <w:r w:rsidRPr="00CB0A1C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CB0A1C">
              <w:rPr>
                <w:kern w:val="2"/>
                <w:sz w:val="28"/>
                <w:szCs w:val="28"/>
              </w:rPr>
              <w:t xml:space="preserve"> расходных обязательств </w:t>
            </w:r>
            <w:proofErr w:type="spellStart"/>
            <w:r w:rsidRPr="00CB0A1C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kern w:val="2"/>
                <w:sz w:val="28"/>
                <w:szCs w:val="28"/>
              </w:rPr>
              <w:t xml:space="preserve"> района в целях оказания финансовой поддержки выполнения органами местного самоуправления полномочий по вопросам местного значения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главные распорядители средств бюджета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  <w:r w:rsidRPr="00CB0A1C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</w:pPr>
            <w:r w:rsidRPr="00CB0A1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Х</w:t>
            </w:r>
          </w:p>
        </w:tc>
      </w:tr>
      <w:tr w:rsidR="006553BF" w:rsidRPr="00CB0A1C" w:rsidTr="005C092B"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  <w:lang w:val="en-US"/>
              </w:rPr>
              <w:t>III</w:t>
            </w:r>
            <w:r w:rsidRPr="00CB0A1C">
              <w:rPr>
                <w:sz w:val="28"/>
                <w:szCs w:val="28"/>
              </w:rPr>
              <w:t xml:space="preserve">. Направления по сокращению муниципального долга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Всего по разделу </w:t>
            </w:r>
            <w:r w:rsidRPr="00CB0A1C">
              <w:rPr>
                <w:sz w:val="28"/>
                <w:szCs w:val="28"/>
                <w:lang w:val="en-US"/>
              </w:rPr>
              <w:t>III</w:t>
            </w:r>
            <w:r w:rsidRPr="00CB0A1C">
              <w:rPr>
                <w:sz w:val="28"/>
                <w:szCs w:val="28"/>
              </w:rPr>
              <w:t xml:space="preserve"> без учета пункта 2.1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Меры по сокращению расходов на обслуживание </w:t>
            </w:r>
            <w:r w:rsidRPr="00CB0A1C">
              <w:rPr>
                <w:sz w:val="28"/>
                <w:szCs w:val="28"/>
              </w:rPr>
              <w:t>муниципального</w:t>
            </w:r>
            <w:r w:rsidRPr="00CB0A1C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1.1.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Направление дополнительных доходов, экономии по расходам и остатков средств бюджета </w:t>
            </w:r>
            <w:proofErr w:type="spellStart"/>
            <w:r w:rsidRPr="00CB0A1C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kern w:val="2"/>
                <w:sz w:val="28"/>
                <w:szCs w:val="28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>Привлечение кредитов кредитных организаций с учетом планируемых кассовых разрывов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B0A1C">
              <w:rPr>
                <w:sz w:val="28"/>
                <w:szCs w:val="28"/>
              </w:rPr>
              <w:lastRenderedPageBreak/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-</w:t>
            </w:r>
          </w:p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2.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Мероприятия по оптимизации муниципального долга 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Направление остатков средств бюджета </w:t>
            </w:r>
            <w:proofErr w:type="spellStart"/>
            <w:r w:rsidRPr="00CB0A1C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kern w:val="2"/>
                <w:sz w:val="28"/>
                <w:szCs w:val="28"/>
              </w:rPr>
              <w:t xml:space="preserve"> района отчетного года на замещение рыночных заимствований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B0A1C">
              <w:rPr>
                <w:sz w:val="28"/>
                <w:szCs w:val="28"/>
              </w:rPr>
              <w:t>Белокалитвинского</w:t>
            </w:r>
            <w:proofErr w:type="spellEnd"/>
            <w:r w:rsidRPr="00CB0A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B0A1C"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>-</w:t>
            </w:r>
          </w:p>
        </w:tc>
      </w:tr>
      <w:tr w:rsidR="006553BF" w:rsidRPr="00CB0A1C" w:rsidTr="005C092B"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B0A1C">
              <w:rPr>
                <w:kern w:val="2"/>
                <w:sz w:val="28"/>
                <w:szCs w:val="28"/>
              </w:rPr>
              <w:t xml:space="preserve">Итого по Плану без учета пункта 2.1 раздела </w:t>
            </w:r>
            <w:r w:rsidRPr="00CB0A1C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F" w:rsidRPr="00CB0A1C" w:rsidRDefault="006553BF" w:rsidP="005C092B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* Финансовая оценка (бюджетный эффект) рассчитывается относительно показателям бюджета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района, утвержденным на 2018 год и на плановый период 2019 и 2020 годов, действующего решения Собрания депутатов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о бюджете:</w:t>
      </w: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CB0A1C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по итогам проведения мероприятия;</w:t>
      </w: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CB0A1C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по итогам проведения мероприятия;</w:t>
      </w:r>
    </w:p>
    <w:p w:rsidR="006553BF" w:rsidRPr="006553BF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CB0A1C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разделу–как планируемая оптимизация средств бюджета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по итогам проведения мероприятия.</w:t>
      </w:r>
    </w:p>
    <w:p w:rsidR="006553BF" w:rsidRPr="00CB0A1C" w:rsidRDefault="006553BF" w:rsidP="0065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2232"/>
      </w:tblGrid>
      <w:tr w:rsidR="006553BF" w:rsidRPr="00CB0A1C" w:rsidTr="005C092B">
        <w:trPr>
          <w:trHeight w:val="69"/>
        </w:trPr>
        <w:tc>
          <w:tcPr>
            <w:tcW w:w="11023" w:type="dxa"/>
            <w:shd w:val="clear" w:color="auto" w:fill="auto"/>
          </w:tcPr>
          <w:p w:rsidR="006553BF" w:rsidRPr="00CB0A1C" w:rsidRDefault="006553BF" w:rsidP="005C092B">
            <w:r w:rsidRPr="00CB0A1C">
              <w:rPr>
                <w:sz w:val="28"/>
                <w:szCs w:val="20"/>
              </w:rPr>
              <w:t>Управляющий делами</w:t>
            </w:r>
            <w:r w:rsidRPr="00CB0A1C">
              <w:t xml:space="preserve">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CB0A1C">
              <w:rPr>
                <w:sz w:val="28"/>
                <w:szCs w:val="20"/>
              </w:rPr>
              <w:t>Л.Г. Василенко</w:t>
            </w:r>
          </w:p>
        </w:tc>
      </w:tr>
    </w:tbl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t>Приложение № 2</w:t>
      </w:r>
    </w:p>
    <w:p w:rsidR="006553BF" w:rsidRPr="00CB0A1C" w:rsidRDefault="006553BF" w:rsidP="001E04C7">
      <w:pPr>
        <w:ind w:left="11340" w:hanging="2551"/>
        <w:jc w:val="right"/>
        <w:rPr>
          <w:sz w:val="28"/>
          <w:szCs w:val="28"/>
        </w:rPr>
      </w:pPr>
      <w:r w:rsidRPr="00CB0A1C">
        <w:rPr>
          <w:sz w:val="28"/>
          <w:szCs w:val="28"/>
        </w:rPr>
        <w:t>к распоряжению</w:t>
      </w:r>
      <w:r w:rsidR="001E04C7">
        <w:rPr>
          <w:sz w:val="28"/>
          <w:szCs w:val="28"/>
        </w:rPr>
        <w:t xml:space="preserve"> </w:t>
      </w:r>
      <w:r w:rsidRPr="00CB0A1C">
        <w:rPr>
          <w:sz w:val="28"/>
          <w:szCs w:val="28"/>
        </w:rPr>
        <w:t xml:space="preserve">Администрации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proofErr w:type="spellStart"/>
      <w:r w:rsidRPr="00CB0A1C">
        <w:rPr>
          <w:sz w:val="28"/>
          <w:szCs w:val="28"/>
        </w:rPr>
        <w:t>Белокалитвинского</w:t>
      </w:r>
      <w:proofErr w:type="spellEnd"/>
      <w:r w:rsidRPr="00CB0A1C">
        <w:rPr>
          <w:sz w:val="28"/>
          <w:szCs w:val="28"/>
        </w:rPr>
        <w:t xml:space="preserve"> района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lastRenderedPageBreak/>
        <w:t xml:space="preserve">от </w:t>
      </w:r>
      <w:r w:rsidR="001E04C7">
        <w:rPr>
          <w:sz w:val="28"/>
          <w:szCs w:val="28"/>
        </w:rPr>
        <w:t>28</w:t>
      </w:r>
      <w:r w:rsidRPr="00CB0A1C">
        <w:rPr>
          <w:sz w:val="28"/>
          <w:szCs w:val="28"/>
        </w:rPr>
        <w:t>.09.2018 №</w:t>
      </w:r>
      <w:r w:rsidR="001E04C7">
        <w:rPr>
          <w:sz w:val="28"/>
          <w:szCs w:val="28"/>
        </w:rPr>
        <w:t xml:space="preserve"> 120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района, оптимизации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расходов бюджета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до 2020 года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1740"/>
        <w:gridCol w:w="1874"/>
        <w:gridCol w:w="940"/>
        <w:gridCol w:w="1068"/>
        <w:gridCol w:w="2410"/>
        <w:gridCol w:w="2539"/>
        <w:gridCol w:w="1607"/>
        <w:gridCol w:w="1739"/>
      </w:tblGrid>
      <w:tr w:rsidR="006553BF" w:rsidRPr="00CB0A1C" w:rsidTr="005C092B">
        <w:tc>
          <w:tcPr>
            <w:tcW w:w="658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№</w:t>
            </w:r>
          </w:p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п/п*</w:t>
            </w:r>
          </w:p>
        </w:tc>
        <w:tc>
          <w:tcPr>
            <w:tcW w:w="1789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Наименование мероприятия*</w:t>
            </w:r>
          </w:p>
        </w:tc>
        <w:tc>
          <w:tcPr>
            <w:tcW w:w="1927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Ответственный исполнитель*</w:t>
            </w:r>
          </w:p>
        </w:tc>
        <w:tc>
          <w:tcPr>
            <w:tcW w:w="2062" w:type="dxa"/>
            <w:gridSpan w:val="2"/>
          </w:tcPr>
          <w:p w:rsidR="006553BF" w:rsidRPr="00CB0A1C" w:rsidRDefault="006553BF" w:rsidP="005C092B">
            <w:pPr>
              <w:suppressAutoHyphens/>
              <w:spacing w:after="120"/>
              <w:ind w:right="-189"/>
              <w:rPr>
                <w:kern w:val="2"/>
              </w:rPr>
            </w:pPr>
            <w:r w:rsidRPr="00CB0A1C">
              <w:rPr>
                <w:kern w:val="2"/>
              </w:rPr>
              <w:t>Срок исполнения</w:t>
            </w:r>
          </w:p>
        </w:tc>
        <w:tc>
          <w:tcPr>
            <w:tcW w:w="2480" w:type="dxa"/>
            <w:vMerge w:val="restart"/>
          </w:tcPr>
          <w:p w:rsidR="006553BF" w:rsidRPr="00CB0A1C" w:rsidRDefault="006553BF" w:rsidP="005C092B">
            <w:pPr>
              <w:suppressAutoHyphens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Финансовая оценка (бюджетный эффект),</w:t>
            </w:r>
          </w:p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 xml:space="preserve">(тыс. </w:t>
            </w:r>
            <w:proofErr w:type="gramStart"/>
            <w:r w:rsidRPr="00CB0A1C">
              <w:rPr>
                <w:kern w:val="2"/>
              </w:rPr>
              <w:t>рублей)*</w:t>
            </w:r>
            <w:proofErr w:type="gramEnd"/>
          </w:p>
        </w:tc>
        <w:tc>
          <w:tcPr>
            <w:tcW w:w="2613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Полученный финансовый (бюджетный) эффект, (тыс. рублей)</w:t>
            </w:r>
          </w:p>
        </w:tc>
        <w:tc>
          <w:tcPr>
            <w:tcW w:w="1652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Полученный результат**</w:t>
            </w:r>
          </w:p>
        </w:tc>
        <w:tc>
          <w:tcPr>
            <w:tcW w:w="1788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Примечание</w:t>
            </w:r>
          </w:p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***</w:t>
            </w:r>
          </w:p>
        </w:tc>
      </w:tr>
      <w:tr w:rsidR="006553BF" w:rsidRPr="00CB0A1C" w:rsidTr="005C092B">
        <w:tc>
          <w:tcPr>
            <w:tcW w:w="658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89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27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965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план*</w:t>
            </w:r>
          </w:p>
        </w:tc>
        <w:tc>
          <w:tcPr>
            <w:tcW w:w="109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факт</w:t>
            </w:r>
          </w:p>
        </w:tc>
        <w:tc>
          <w:tcPr>
            <w:tcW w:w="2480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613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52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88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  <w:tr w:rsidR="006553BF" w:rsidRPr="00CB0A1C" w:rsidTr="005C092B">
        <w:tc>
          <w:tcPr>
            <w:tcW w:w="658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1</w:t>
            </w:r>
          </w:p>
        </w:tc>
        <w:tc>
          <w:tcPr>
            <w:tcW w:w="1789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2</w:t>
            </w:r>
          </w:p>
        </w:tc>
        <w:tc>
          <w:tcPr>
            <w:tcW w:w="192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3</w:t>
            </w:r>
          </w:p>
        </w:tc>
        <w:tc>
          <w:tcPr>
            <w:tcW w:w="965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4</w:t>
            </w:r>
          </w:p>
        </w:tc>
        <w:tc>
          <w:tcPr>
            <w:tcW w:w="109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5</w:t>
            </w:r>
          </w:p>
        </w:tc>
        <w:tc>
          <w:tcPr>
            <w:tcW w:w="2480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6</w:t>
            </w:r>
          </w:p>
        </w:tc>
        <w:tc>
          <w:tcPr>
            <w:tcW w:w="261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7</w:t>
            </w:r>
          </w:p>
        </w:tc>
        <w:tc>
          <w:tcPr>
            <w:tcW w:w="1652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8</w:t>
            </w:r>
          </w:p>
        </w:tc>
        <w:tc>
          <w:tcPr>
            <w:tcW w:w="1788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9</w:t>
            </w:r>
          </w:p>
        </w:tc>
      </w:tr>
      <w:tr w:rsidR="006553BF" w:rsidRPr="00CB0A1C" w:rsidTr="005C092B">
        <w:tc>
          <w:tcPr>
            <w:tcW w:w="658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89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2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965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09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480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61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52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88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</w:tbl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*Заполняется в соответствии с приложением №1.</w:t>
      </w:r>
    </w:p>
    <w:p w:rsidR="006553BF" w:rsidRPr="00CB0A1C" w:rsidRDefault="006553BF" w:rsidP="006553B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2232"/>
      </w:tblGrid>
      <w:tr w:rsidR="006553BF" w:rsidRPr="00CB0A1C" w:rsidTr="005C092B">
        <w:trPr>
          <w:trHeight w:val="69"/>
        </w:trPr>
        <w:tc>
          <w:tcPr>
            <w:tcW w:w="11023" w:type="dxa"/>
            <w:shd w:val="clear" w:color="auto" w:fill="auto"/>
          </w:tcPr>
          <w:p w:rsidR="006553BF" w:rsidRPr="00CB0A1C" w:rsidRDefault="006553BF" w:rsidP="005C092B">
            <w:r w:rsidRPr="00CB0A1C">
              <w:rPr>
                <w:sz w:val="28"/>
                <w:szCs w:val="20"/>
              </w:rPr>
              <w:t>Управляющий делами</w:t>
            </w:r>
            <w:r w:rsidRPr="00CB0A1C">
              <w:t xml:space="preserve">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CB0A1C">
              <w:rPr>
                <w:sz w:val="28"/>
                <w:szCs w:val="20"/>
              </w:rPr>
              <w:t>Л.Г. Василенко</w:t>
            </w:r>
          </w:p>
        </w:tc>
      </w:tr>
    </w:tbl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t>Приложение № 3</w:t>
      </w:r>
    </w:p>
    <w:p w:rsidR="006553BF" w:rsidRPr="00CB0A1C" w:rsidRDefault="006553BF" w:rsidP="001E04C7">
      <w:pPr>
        <w:ind w:left="11340" w:hanging="3969"/>
        <w:jc w:val="right"/>
        <w:rPr>
          <w:sz w:val="28"/>
          <w:szCs w:val="28"/>
        </w:rPr>
      </w:pPr>
      <w:r w:rsidRPr="00CB0A1C">
        <w:rPr>
          <w:sz w:val="28"/>
          <w:szCs w:val="28"/>
        </w:rPr>
        <w:t>к распоряжению</w:t>
      </w:r>
      <w:r w:rsidR="001E04C7">
        <w:rPr>
          <w:sz w:val="28"/>
          <w:szCs w:val="28"/>
        </w:rPr>
        <w:t xml:space="preserve"> </w:t>
      </w:r>
      <w:r w:rsidRPr="00CB0A1C">
        <w:rPr>
          <w:sz w:val="28"/>
          <w:szCs w:val="28"/>
        </w:rPr>
        <w:t xml:space="preserve">Администрации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proofErr w:type="spellStart"/>
      <w:r w:rsidRPr="00CB0A1C">
        <w:rPr>
          <w:sz w:val="28"/>
          <w:szCs w:val="28"/>
        </w:rPr>
        <w:t>Белокалитвинского</w:t>
      </w:r>
      <w:proofErr w:type="spellEnd"/>
      <w:r w:rsidRPr="00CB0A1C">
        <w:rPr>
          <w:sz w:val="28"/>
          <w:szCs w:val="28"/>
        </w:rPr>
        <w:t xml:space="preserve"> района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t xml:space="preserve">от </w:t>
      </w:r>
      <w:r w:rsidR="001E04C7">
        <w:rPr>
          <w:sz w:val="28"/>
          <w:szCs w:val="28"/>
        </w:rPr>
        <w:t>28</w:t>
      </w:r>
      <w:r w:rsidRPr="00CB0A1C">
        <w:rPr>
          <w:sz w:val="28"/>
          <w:szCs w:val="28"/>
        </w:rPr>
        <w:t>.09.2018 №</w:t>
      </w:r>
      <w:r w:rsidR="001E04C7">
        <w:rPr>
          <w:sz w:val="28"/>
          <w:szCs w:val="28"/>
        </w:rPr>
        <w:t xml:space="preserve"> 120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района,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оптимизации </w:t>
      </w:r>
      <w:proofErr w:type="gramStart"/>
      <w:r w:rsidRPr="00CB0A1C">
        <w:rPr>
          <w:rFonts w:eastAsia="Calibri"/>
          <w:kern w:val="2"/>
          <w:sz w:val="28"/>
          <w:szCs w:val="28"/>
          <w:lang w:eastAsia="en-US"/>
        </w:rPr>
        <w:t>расходов  бюджета</w:t>
      </w:r>
      <w:proofErr w:type="gram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 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до 2020 года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155"/>
        <w:gridCol w:w="1930"/>
        <w:gridCol w:w="1655"/>
        <w:gridCol w:w="1105"/>
        <w:gridCol w:w="2618"/>
        <w:gridCol w:w="968"/>
        <w:gridCol w:w="2507"/>
      </w:tblGrid>
      <w:tr w:rsidR="006553BF" w:rsidRPr="00CB0A1C" w:rsidTr="005C092B">
        <w:tc>
          <w:tcPr>
            <w:tcW w:w="638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№</w:t>
            </w:r>
          </w:p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п/п*</w:t>
            </w:r>
          </w:p>
        </w:tc>
        <w:tc>
          <w:tcPr>
            <w:tcW w:w="3247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Наименование мероприятия*</w:t>
            </w:r>
          </w:p>
        </w:tc>
        <w:tc>
          <w:tcPr>
            <w:tcW w:w="1984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Ответственный исполнитель*</w:t>
            </w:r>
          </w:p>
        </w:tc>
        <w:tc>
          <w:tcPr>
            <w:tcW w:w="1701" w:type="dxa"/>
            <w:vMerge w:val="restart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Срок исполнения*</w:t>
            </w:r>
          </w:p>
        </w:tc>
        <w:tc>
          <w:tcPr>
            <w:tcW w:w="7399" w:type="dxa"/>
            <w:gridSpan w:val="4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Финансовая оценка (бюджетный эффект),</w:t>
            </w:r>
          </w:p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тыс. рублей</w:t>
            </w:r>
          </w:p>
        </w:tc>
      </w:tr>
      <w:tr w:rsidR="006553BF" w:rsidRPr="00CB0A1C" w:rsidTr="005C092B">
        <w:tc>
          <w:tcPr>
            <w:tcW w:w="638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3247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3827" w:type="dxa"/>
            <w:gridSpan w:val="2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2019год</w:t>
            </w:r>
          </w:p>
        </w:tc>
        <w:tc>
          <w:tcPr>
            <w:tcW w:w="3572" w:type="dxa"/>
            <w:gridSpan w:val="2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2020год</w:t>
            </w:r>
          </w:p>
        </w:tc>
      </w:tr>
      <w:tr w:rsidR="006553BF" w:rsidRPr="00CB0A1C" w:rsidTr="005C092B">
        <w:tc>
          <w:tcPr>
            <w:tcW w:w="638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3247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план*</w:t>
            </w:r>
          </w:p>
        </w:tc>
        <w:tc>
          <w:tcPr>
            <w:tcW w:w="2693" w:type="dxa"/>
          </w:tcPr>
          <w:p w:rsidR="006553BF" w:rsidRPr="00CB0A1C" w:rsidRDefault="006553BF" w:rsidP="005C092B">
            <w:pPr>
              <w:suppressAutoHyphens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 xml:space="preserve">учтено </w:t>
            </w:r>
            <w:proofErr w:type="gramStart"/>
            <w:r w:rsidRPr="00CB0A1C">
              <w:rPr>
                <w:kern w:val="2"/>
              </w:rPr>
              <w:t>в  бюджете</w:t>
            </w:r>
            <w:proofErr w:type="gramEnd"/>
            <w:r w:rsidRPr="00CB0A1C">
              <w:rPr>
                <w:kern w:val="2"/>
              </w:rPr>
              <w:t xml:space="preserve"> </w:t>
            </w:r>
            <w:proofErr w:type="spellStart"/>
            <w:r w:rsidRPr="00CB0A1C">
              <w:rPr>
                <w:kern w:val="2"/>
              </w:rPr>
              <w:t>Белокалитвинского</w:t>
            </w:r>
            <w:proofErr w:type="spellEnd"/>
            <w:r w:rsidRPr="00CB0A1C">
              <w:rPr>
                <w:kern w:val="2"/>
              </w:rPr>
              <w:t xml:space="preserve"> района на 2019 год и на плановый период 2020</w:t>
            </w:r>
          </w:p>
          <w:p w:rsidR="006553BF" w:rsidRPr="00CB0A1C" w:rsidRDefault="006553BF" w:rsidP="005C092B">
            <w:pPr>
              <w:suppressAutoHyphens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и 2021 годов</w:t>
            </w:r>
          </w:p>
        </w:tc>
        <w:tc>
          <w:tcPr>
            <w:tcW w:w="99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план*</w:t>
            </w:r>
          </w:p>
        </w:tc>
        <w:tc>
          <w:tcPr>
            <w:tcW w:w="2579" w:type="dxa"/>
          </w:tcPr>
          <w:p w:rsidR="006553BF" w:rsidRPr="00CB0A1C" w:rsidRDefault="006553BF" w:rsidP="005C092B">
            <w:pPr>
              <w:suppressAutoHyphens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 xml:space="preserve">учтено </w:t>
            </w:r>
            <w:proofErr w:type="gramStart"/>
            <w:r w:rsidRPr="00CB0A1C">
              <w:rPr>
                <w:kern w:val="2"/>
              </w:rPr>
              <w:t>в  бюджете</w:t>
            </w:r>
            <w:proofErr w:type="gramEnd"/>
            <w:r w:rsidRPr="00CB0A1C">
              <w:rPr>
                <w:kern w:val="2"/>
              </w:rPr>
              <w:t xml:space="preserve"> </w:t>
            </w:r>
            <w:proofErr w:type="spellStart"/>
            <w:r w:rsidRPr="00CB0A1C">
              <w:rPr>
                <w:kern w:val="2"/>
              </w:rPr>
              <w:t>Белокалитвинского</w:t>
            </w:r>
            <w:proofErr w:type="spellEnd"/>
            <w:r w:rsidRPr="00CB0A1C">
              <w:rPr>
                <w:kern w:val="2"/>
              </w:rPr>
              <w:t xml:space="preserve"> района на 2019 год и на плановый период 2020</w:t>
            </w:r>
          </w:p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и 2021 годов</w:t>
            </w:r>
          </w:p>
        </w:tc>
      </w:tr>
      <w:tr w:rsidR="006553BF" w:rsidRPr="00CB0A1C" w:rsidTr="005C092B">
        <w:tc>
          <w:tcPr>
            <w:tcW w:w="638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1</w:t>
            </w:r>
          </w:p>
        </w:tc>
        <w:tc>
          <w:tcPr>
            <w:tcW w:w="324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2</w:t>
            </w:r>
          </w:p>
        </w:tc>
        <w:tc>
          <w:tcPr>
            <w:tcW w:w="1984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5</w:t>
            </w:r>
          </w:p>
        </w:tc>
        <w:tc>
          <w:tcPr>
            <w:tcW w:w="269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7</w:t>
            </w:r>
          </w:p>
        </w:tc>
        <w:tc>
          <w:tcPr>
            <w:tcW w:w="2579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  <w:r w:rsidRPr="00CB0A1C">
              <w:rPr>
                <w:kern w:val="2"/>
              </w:rPr>
              <w:t>8</w:t>
            </w:r>
          </w:p>
        </w:tc>
      </w:tr>
      <w:tr w:rsidR="006553BF" w:rsidRPr="00CB0A1C" w:rsidTr="005C092B">
        <w:tc>
          <w:tcPr>
            <w:tcW w:w="638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3247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69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579" w:type="dxa"/>
          </w:tcPr>
          <w:p w:rsidR="006553BF" w:rsidRPr="00CB0A1C" w:rsidRDefault="006553BF" w:rsidP="005C092B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</w:tbl>
    <w:p w:rsidR="006553BF" w:rsidRPr="00CB0A1C" w:rsidRDefault="006553BF" w:rsidP="006553BF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*Заполняется в соответствии с приложением № 1.</w:t>
      </w: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2232"/>
      </w:tblGrid>
      <w:tr w:rsidR="006553BF" w:rsidRPr="00CB0A1C" w:rsidTr="005C092B">
        <w:trPr>
          <w:trHeight w:val="69"/>
        </w:trPr>
        <w:tc>
          <w:tcPr>
            <w:tcW w:w="11023" w:type="dxa"/>
            <w:shd w:val="clear" w:color="auto" w:fill="auto"/>
          </w:tcPr>
          <w:p w:rsidR="006553BF" w:rsidRPr="00CB0A1C" w:rsidRDefault="006553BF" w:rsidP="005C092B">
            <w:r w:rsidRPr="00CB0A1C">
              <w:rPr>
                <w:sz w:val="28"/>
                <w:szCs w:val="20"/>
              </w:rPr>
              <w:t>Управляющий делами</w:t>
            </w:r>
            <w:r w:rsidRPr="00CB0A1C">
              <w:t xml:space="preserve">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6553BF" w:rsidRPr="00CB0A1C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CB0A1C">
              <w:rPr>
                <w:sz w:val="28"/>
                <w:szCs w:val="20"/>
              </w:rPr>
              <w:t>Л.Г. Василенко</w:t>
            </w:r>
          </w:p>
        </w:tc>
      </w:tr>
    </w:tbl>
    <w:p w:rsidR="006553BF" w:rsidRDefault="006553BF">
      <w:pPr>
        <w:pStyle w:val="a3"/>
        <w:tabs>
          <w:tab w:val="clear" w:pos="4536"/>
          <w:tab w:val="clear" w:pos="9072"/>
        </w:tabs>
      </w:pPr>
    </w:p>
    <w:p w:rsidR="001E04C7" w:rsidRDefault="001E04C7" w:rsidP="006553BF">
      <w:pPr>
        <w:ind w:left="11340"/>
        <w:jc w:val="center"/>
        <w:rPr>
          <w:sz w:val="28"/>
          <w:szCs w:val="28"/>
        </w:rPr>
        <w:sectPr w:rsidR="001E04C7" w:rsidSect="006553BF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lastRenderedPageBreak/>
        <w:t>Приложение №</w:t>
      </w:r>
      <w:r w:rsidR="001E04C7">
        <w:rPr>
          <w:sz w:val="28"/>
          <w:szCs w:val="28"/>
        </w:rPr>
        <w:t xml:space="preserve"> </w:t>
      </w:r>
      <w:r w:rsidRPr="00CB0A1C">
        <w:rPr>
          <w:sz w:val="28"/>
          <w:szCs w:val="28"/>
        </w:rPr>
        <w:t>4</w:t>
      </w:r>
    </w:p>
    <w:p w:rsidR="006553BF" w:rsidRPr="00CB0A1C" w:rsidRDefault="006553BF" w:rsidP="001E04C7">
      <w:pPr>
        <w:ind w:left="11340" w:hanging="85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t>к распоряжению</w:t>
      </w:r>
      <w:r w:rsidR="001E04C7">
        <w:rPr>
          <w:sz w:val="28"/>
          <w:szCs w:val="28"/>
        </w:rPr>
        <w:t xml:space="preserve"> </w:t>
      </w:r>
      <w:r w:rsidRPr="00CB0A1C">
        <w:rPr>
          <w:sz w:val="28"/>
          <w:szCs w:val="28"/>
        </w:rPr>
        <w:t xml:space="preserve">Администрации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proofErr w:type="spellStart"/>
      <w:r w:rsidRPr="00CB0A1C">
        <w:rPr>
          <w:sz w:val="28"/>
          <w:szCs w:val="28"/>
        </w:rPr>
        <w:t>Белокалитвинского</w:t>
      </w:r>
      <w:proofErr w:type="spellEnd"/>
      <w:r w:rsidRPr="00CB0A1C">
        <w:rPr>
          <w:sz w:val="28"/>
          <w:szCs w:val="28"/>
        </w:rPr>
        <w:t xml:space="preserve"> района </w:t>
      </w:r>
    </w:p>
    <w:p w:rsidR="006553BF" w:rsidRPr="00CB0A1C" w:rsidRDefault="006553BF" w:rsidP="006553BF">
      <w:pPr>
        <w:ind w:left="11340"/>
        <w:jc w:val="center"/>
        <w:rPr>
          <w:sz w:val="28"/>
          <w:szCs w:val="28"/>
        </w:rPr>
      </w:pPr>
      <w:r w:rsidRPr="00CB0A1C">
        <w:rPr>
          <w:sz w:val="28"/>
          <w:szCs w:val="28"/>
        </w:rPr>
        <w:t xml:space="preserve">от </w:t>
      </w:r>
      <w:r w:rsidR="001E04C7">
        <w:rPr>
          <w:sz w:val="28"/>
          <w:szCs w:val="28"/>
        </w:rPr>
        <w:t>28</w:t>
      </w:r>
      <w:r w:rsidRPr="00CB0A1C">
        <w:rPr>
          <w:sz w:val="28"/>
          <w:szCs w:val="28"/>
        </w:rPr>
        <w:t>.09.2018 №</w:t>
      </w:r>
      <w:r w:rsidR="001E04C7">
        <w:rPr>
          <w:sz w:val="28"/>
          <w:szCs w:val="28"/>
        </w:rPr>
        <w:t xml:space="preserve"> 120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6553BF" w:rsidRPr="00CB0A1C" w:rsidRDefault="006553BF" w:rsidP="006553BF">
      <w:pPr>
        <w:ind w:left="3828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распоряжений </w:t>
      </w:r>
      <w:r w:rsidRPr="00CB0A1C">
        <w:rPr>
          <w:sz w:val="28"/>
          <w:szCs w:val="28"/>
        </w:rPr>
        <w:t xml:space="preserve">Администрации </w:t>
      </w:r>
      <w:proofErr w:type="spellStart"/>
      <w:r w:rsidRPr="00CB0A1C">
        <w:rPr>
          <w:sz w:val="28"/>
          <w:szCs w:val="28"/>
        </w:rPr>
        <w:t>Белокалитвинского</w:t>
      </w:r>
      <w:proofErr w:type="spellEnd"/>
      <w:r w:rsidRPr="00CB0A1C">
        <w:rPr>
          <w:sz w:val="28"/>
          <w:szCs w:val="28"/>
        </w:rPr>
        <w:t xml:space="preserve"> района</w:t>
      </w:r>
      <w:r w:rsidRPr="00CB0A1C">
        <w:rPr>
          <w:rFonts w:eastAsia="Calibri"/>
          <w:kern w:val="2"/>
          <w:sz w:val="28"/>
          <w:szCs w:val="28"/>
          <w:lang w:eastAsia="en-US"/>
        </w:rPr>
        <w:t>,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>признанных утратившими силу</w:t>
      </w:r>
    </w:p>
    <w:p w:rsidR="006553BF" w:rsidRPr="00CB0A1C" w:rsidRDefault="006553BF" w:rsidP="006553B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553BF" w:rsidRPr="00CB0A1C" w:rsidRDefault="006553BF" w:rsidP="006553B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от 24.04.2017 </w:t>
      </w:r>
      <w:proofErr w:type="gramStart"/>
      <w:r w:rsidRPr="00CB0A1C">
        <w:rPr>
          <w:rFonts w:eastAsia="Calibri"/>
          <w:kern w:val="2"/>
          <w:sz w:val="28"/>
          <w:szCs w:val="28"/>
          <w:lang w:eastAsia="en-US"/>
        </w:rPr>
        <w:t>№  40</w:t>
      </w:r>
      <w:proofErr w:type="gram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«Об утверждении Программы оптимизации расходов бюджета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на 2017–2019 годы».</w:t>
      </w:r>
    </w:p>
    <w:p w:rsidR="006553BF" w:rsidRPr="008B61AD" w:rsidRDefault="006553BF" w:rsidP="006553BF">
      <w:pPr>
        <w:numPr>
          <w:ilvl w:val="0"/>
          <w:numId w:val="4"/>
        </w:numPr>
        <w:jc w:val="both"/>
        <w:rPr>
          <w:kern w:val="2"/>
          <w:sz w:val="28"/>
          <w:szCs w:val="28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от 07.07.2017 № 103 «О внесении изменений в распоряжение Администрации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CB0A1C">
        <w:rPr>
          <w:rFonts w:eastAsia="Calibri"/>
          <w:kern w:val="2"/>
          <w:sz w:val="28"/>
          <w:szCs w:val="28"/>
          <w:lang w:eastAsia="en-US"/>
        </w:rPr>
        <w:t>йона от 24.04.2017 № 40».</w:t>
      </w:r>
    </w:p>
    <w:p w:rsidR="006553BF" w:rsidRPr="00CB0A1C" w:rsidRDefault="006553BF" w:rsidP="006553BF">
      <w:pPr>
        <w:numPr>
          <w:ilvl w:val="0"/>
          <w:numId w:val="4"/>
        </w:numPr>
        <w:jc w:val="both"/>
        <w:rPr>
          <w:kern w:val="2"/>
          <w:sz w:val="28"/>
          <w:szCs w:val="28"/>
        </w:rPr>
      </w:pPr>
      <w:r w:rsidRPr="00CB0A1C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</w:t>
      </w:r>
      <w:proofErr w:type="spellStart"/>
      <w:r w:rsidRPr="00CB0A1C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CB0A1C">
        <w:rPr>
          <w:rFonts w:eastAsia="Calibri"/>
          <w:kern w:val="2"/>
          <w:sz w:val="28"/>
          <w:szCs w:val="28"/>
          <w:lang w:eastAsia="en-US"/>
        </w:rPr>
        <w:t xml:space="preserve"> района от 05.02.2018 № 12 «О внесении изменений в распоряжение А</w:t>
      </w:r>
      <w:r>
        <w:rPr>
          <w:rFonts w:eastAsia="Calibri"/>
          <w:kern w:val="2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B0A1C">
        <w:rPr>
          <w:rFonts w:eastAsia="Calibri"/>
          <w:kern w:val="2"/>
          <w:sz w:val="28"/>
          <w:szCs w:val="28"/>
          <w:lang w:eastAsia="en-US"/>
        </w:rPr>
        <w:t>р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CB0A1C">
        <w:rPr>
          <w:rFonts w:eastAsia="Calibri"/>
          <w:kern w:val="2"/>
          <w:sz w:val="28"/>
          <w:szCs w:val="28"/>
          <w:lang w:eastAsia="en-US"/>
        </w:rPr>
        <w:t>йона от 24.04.2017 № 40».</w:t>
      </w:r>
    </w:p>
    <w:p w:rsidR="006553BF" w:rsidRDefault="006553BF" w:rsidP="006553BF">
      <w:pPr>
        <w:ind w:firstLine="709"/>
        <w:jc w:val="both"/>
        <w:rPr>
          <w:kern w:val="2"/>
          <w:sz w:val="28"/>
          <w:szCs w:val="28"/>
        </w:rPr>
      </w:pPr>
    </w:p>
    <w:p w:rsidR="001E04C7" w:rsidRDefault="001E04C7" w:rsidP="006553BF">
      <w:pPr>
        <w:ind w:firstLine="709"/>
        <w:jc w:val="both"/>
        <w:rPr>
          <w:kern w:val="2"/>
          <w:sz w:val="28"/>
          <w:szCs w:val="28"/>
        </w:rPr>
      </w:pPr>
    </w:p>
    <w:p w:rsidR="001E04C7" w:rsidRPr="00CB0A1C" w:rsidRDefault="001E04C7" w:rsidP="006553BF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2232"/>
      </w:tblGrid>
      <w:tr w:rsidR="006553BF" w:rsidRPr="002E65EB" w:rsidTr="005C092B">
        <w:trPr>
          <w:trHeight w:val="69"/>
        </w:trPr>
        <w:tc>
          <w:tcPr>
            <w:tcW w:w="11023" w:type="dxa"/>
            <w:shd w:val="clear" w:color="auto" w:fill="auto"/>
          </w:tcPr>
          <w:p w:rsidR="006553BF" w:rsidRPr="00CB0A1C" w:rsidRDefault="006553BF" w:rsidP="005C092B">
            <w:r w:rsidRPr="00CB0A1C">
              <w:rPr>
                <w:sz w:val="28"/>
                <w:szCs w:val="20"/>
              </w:rPr>
              <w:t>Управляющий делами</w:t>
            </w:r>
            <w:r w:rsidRPr="00CB0A1C">
              <w:t xml:space="preserve">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6553BF" w:rsidRPr="002E65EB" w:rsidRDefault="006553BF" w:rsidP="005C0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CB0A1C">
              <w:rPr>
                <w:sz w:val="28"/>
                <w:szCs w:val="20"/>
              </w:rPr>
              <w:t>Л.Г. Василенко</w:t>
            </w:r>
          </w:p>
        </w:tc>
      </w:tr>
    </w:tbl>
    <w:p w:rsidR="006553BF" w:rsidRDefault="006553BF" w:rsidP="00655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3BF" w:rsidRDefault="006553BF">
      <w:pPr>
        <w:pStyle w:val="a3"/>
        <w:tabs>
          <w:tab w:val="clear" w:pos="4536"/>
          <w:tab w:val="clear" w:pos="9072"/>
        </w:tabs>
      </w:pPr>
    </w:p>
    <w:sectPr w:rsidR="006553BF" w:rsidSect="006553BF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8A" w:rsidRDefault="00175E8A">
      <w:r>
        <w:separator/>
      </w:r>
    </w:p>
  </w:endnote>
  <w:endnote w:type="continuationSeparator" w:id="0">
    <w:p w:rsidR="00175E8A" w:rsidRDefault="0017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400A6" w:rsidRPr="000400A6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400A6" w:rsidRPr="009417D6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E04C7" w:rsidRPr="001E04C7">
      <w:rPr>
        <w:noProof/>
        <w:sz w:val="14"/>
      </w:rPr>
      <w:t>28.09.2018 11:36:00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9417D6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9417D6">
      <w:rPr>
        <w:sz w:val="14"/>
      </w:rPr>
      <w:t xml:space="preserve">. </w:t>
    </w:r>
    <w:r>
      <w:rPr>
        <w:sz w:val="14"/>
      </w:rPr>
      <w:fldChar w:fldCharType="begin"/>
    </w:r>
    <w:r w:rsidRPr="009417D6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9417D6">
      <w:rPr>
        <w:sz w:val="14"/>
      </w:rPr>
      <w:instrText xml:space="preserve"> </w:instrText>
    </w:r>
    <w:r>
      <w:rPr>
        <w:sz w:val="14"/>
      </w:rPr>
      <w:fldChar w:fldCharType="separate"/>
    </w:r>
    <w:r w:rsidR="001E04C7">
      <w:rPr>
        <w:noProof/>
        <w:sz w:val="14"/>
        <w:lang w:val="en-US"/>
      </w:rPr>
      <w:t>13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1E04C7">
      <w:rPr>
        <w:noProof/>
        <w:sz w:val="14"/>
      </w:rPr>
      <w:t>13</w:t>
    </w:r>
    <w:r>
      <w:rPr>
        <w:sz w:val="14"/>
      </w:rPr>
      <w:fldChar w:fldCharType="end"/>
    </w:r>
    <w:r w:rsidRPr="009417D6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8A" w:rsidRDefault="00175E8A">
      <w:r>
        <w:separator/>
      </w:r>
    </w:p>
  </w:footnote>
  <w:footnote w:type="continuationSeparator" w:id="0">
    <w:p w:rsidR="00175E8A" w:rsidRDefault="0017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FD14636"/>
    <w:multiLevelType w:val="hybridMultilevel"/>
    <w:tmpl w:val="135C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35FF"/>
    <w:rsid w:val="0002101A"/>
    <w:rsid w:val="000400A6"/>
    <w:rsid w:val="00040C21"/>
    <w:rsid w:val="00042119"/>
    <w:rsid w:val="00056046"/>
    <w:rsid w:val="00086B6A"/>
    <w:rsid w:val="00087E16"/>
    <w:rsid w:val="000C3EC7"/>
    <w:rsid w:val="000C6CE8"/>
    <w:rsid w:val="000D703B"/>
    <w:rsid w:val="00102528"/>
    <w:rsid w:val="00130BA6"/>
    <w:rsid w:val="00162686"/>
    <w:rsid w:val="001643E9"/>
    <w:rsid w:val="00175E8A"/>
    <w:rsid w:val="00191DF6"/>
    <w:rsid w:val="001E04C7"/>
    <w:rsid w:val="001F0876"/>
    <w:rsid w:val="00217475"/>
    <w:rsid w:val="00232CB2"/>
    <w:rsid w:val="00241D5F"/>
    <w:rsid w:val="00251388"/>
    <w:rsid w:val="002D4093"/>
    <w:rsid w:val="00316A76"/>
    <w:rsid w:val="00320F99"/>
    <w:rsid w:val="00326F6E"/>
    <w:rsid w:val="00346A95"/>
    <w:rsid w:val="0037568B"/>
    <w:rsid w:val="003A6851"/>
    <w:rsid w:val="003F3219"/>
    <w:rsid w:val="00405D8A"/>
    <w:rsid w:val="00446556"/>
    <w:rsid w:val="00464534"/>
    <w:rsid w:val="00475850"/>
    <w:rsid w:val="00482BF6"/>
    <w:rsid w:val="004B2917"/>
    <w:rsid w:val="004F01D6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553BF"/>
    <w:rsid w:val="00667AD1"/>
    <w:rsid w:val="0069702D"/>
    <w:rsid w:val="006A4064"/>
    <w:rsid w:val="006B56F9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03A71"/>
    <w:rsid w:val="009417D6"/>
    <w:rsid w:val="00943C43"/>
    <w:rsid w:val="00943E52"/>
    <w:rsid w:val="009469D2"/>
    <w:rsid w:val="009736B7"/>
    <w:rsid w:val="009A67FE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2F7B"/>
    <w:rsid w:val="00D841B4"/>
    <w:rsid w:val="00DF1B73"/>
    <w:rsid w:val="00E24A26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2A93-86F2-4443-A37F-E6A8B25E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553B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C818FC857D82C27335621953906537A0C2C8ACA6C0F9ADE0F6D9A5Cs74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9AB3EAB20BBB60952F79FD6584EEC818FC857D82C27335621953906537A0C2C8ACA6C0F9ADE0F6D9A5Cs74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o3\&#1057;&#1086;&#1093;&#1088;&#1072;&#1085;&#1077;&#1085;&#1080;&#1103;%20&#1040;&#1083;&#1077;&#1085;&#1090;&#1100;&#1077;&#1074;&#1072;\&#1053;&#1072;&#1089;&#1090;&#1088;&#1072;&#1080;&#1074;&#1072;&#1077;&#1084;&#1099;&#1077;%20&#1096;&#1072;&#1073;&#1083;&#1086;&#1085;&#1099;%20Office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5</cp:revision>
  <dcterms:created xsi:type="dcterms:W3CDTF">2018-09-28T08:36:00Z</dcterms:created>
  <dcterms:modified xsi:type="dcterms:W3CDTF">2018-10-26T11:10:00Z</dcterms:modified>
</cp:coreProperties>
</file>