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563A1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027D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A15C86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1669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63A11" w:rsidRDefault="00563A11" w:rsidP="00A15C86">
      <w:pPr>
        <w:tabs>
          <w:tab w:val="left" w:pos="4320"/>
          <w:tab w:val="left" w:pos="7380"/>
        </w:tabs>
        <w:spacing w:before="120"/>
        <w:ind w:right="5924"/>
        <w:jc w:val="both"/>
      </w:pPr>
      <w:bookmarkStart w:id="2" w:name="Наименование"/>
      <w:bookmarkEnd w:id="2"/>
      <w:r>
        <w:rPr>
          <w:sz w:val="28"/>
        </w:rPr>
        <w:t>О внесении изменений в постановление Администрации Белокалитвинского района от 19.10.2017 № 1496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563A11" w:rsidRDefault="00563A11" w:rsidP="00A15C86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В связи с необходимостью внесения изменений в конкурсную документацию открытого конкурса на право осуществления перевозок по муниципальным маршрутам регулярных перевозок по регулируемым тарифам Белокалитвинского района,</w:t>
      </w:r>
    </w:p>
    <w:p w:rsidR="00A15C86" w:rsidRDefault="00563A11" w:rsidP="00563A11">
      <w:pPr>
        <w:tabs>
          <w:tab w:val="left" w:pos="708"/>
          <w:tab w:val="left" w:pos="3680"/>
        </w:tabs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</w:t>
      </w:r>
      <w:r>
        <w:rPr>
          <w:sz w:val="28"/>
        </w:rPr>
        <w:t xml:space="preserve">  </w:t>
      </w:r>
    </w:p>
    <w:p w:rsidR="00563A11" w:rsidRDefault="00563A11" w:rsidP="00A15C86">
      <w:pPr>
        <w:tabs>
          <w:tab w:val="left" w:pos="708"/>
          <w:tab w:val="left" w:pos="3680"/>
        </w:tabs>
        <w:jc w:val="center"/>
      </w:pPr>
      <w:r>
        <w:rPr>
          <w:sz w:val="28"/>
        </w:rPr>
        <w:t>ПОСТАНОВЛЯЮ:</w:t>
      </w:r>
    </w:p>
    <w:p w:rsidR="00563A11" w:rsidRDefault="00563A11" w:rsidP="00563A11">
      <w:pPr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>. Внести в постановление Администрации Белокалитвинского района от 19.10.2017 № 1496 «О проведении открытого конкурса на право осуществления перевозок по муниципальным маршрутам регулярных перевозок по регулируемым тарифам Белокалитвинского района» следующие изменения:</w:t>
      </w:r>
    </w:p>
    <w:p w:rsidR="00563A11" w:rsidRDefault="00563A11" w:rsidP="00563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:rsidR="00563A11" w:rsidRDefault="00563A11" w:rsidP="00563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Провести конкурс на право осуществления перевозок по муниципальным маршрутам регулярных перевозок по регулируемым тарифам Белокалитвинского района с 15.12.2017 года».</w:t>
      </w:r>
    </w:p>
    <w:p w:rsidR="00563A11" w:rsidRDefault="00563A11" w:rsidP="00563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6 </w:t>
      </w:r>
      <w:r w:rsidR="00A15C8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риложения № 1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63A11" w:rsidRDefault="00563A11" w:rsidP="00563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</w:t>
      </w:r>
      <w:r w:rsidR="00A15C86">
        <w:rPr>
          <w:sz w:val="28"/>
          <w:szCs w:val="28"/>
        </w:rPr>
        <w:t>дня его</w:t>
      </w:r>
      <w:r>
        <w:rPr>
          <w:sz w:val="28"/>
          <w:szCs w:val="28"/>
        </w:rPr>
        <w:t xml:space="preserve"> принятия и подлежит официальному опубликованию.</w:t>
      </w:r>
    </w:p>
    <w:p w:rsidR="00563A11" w:rsidRDefault="00563A11" w:rsidP="00563A1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A15C86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постановления возложить                          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</w:t>
      </w:r>
      <w:r w:rsidR="00A15C86">
        <w:rPr>
          <w:sz w:val="28"/>
          <w:szCs w:val="28"/>
        </w:rPr>
        <w:t xml:space="preserve">жилищно-коммунальному </w:t>
      </w:r>
      <w:proofErr w:type="gramStart"/>
      <w:r w:rsidR="00A15C86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A15C86" w:rsidRDefault="00A15C86" w:rsidP="00563A11">
      <w:pPr>
        <w:contextualSpacing/>
        <w:jc w:val="right"/>
        <w:rPr>
          <w:sz w:val="26"/>
          <w:szCs w:val="26"/>
        </w:rPr>
      </w:pPr>
    </w:p>
    <w:p w:rsidR="00A15C86" w:rsidRDefault="00A15C86" w:rsidP="00A15C86">
      <w:pPr>
        <w:rPr>
          <w:sz w:val="28"/>
        </w:rPr>
      </w:pPr>
      <w:r>
        <w:rPr>
          <w:sz w:val="28"/>
        </w:rPr>
        <w:t>Верно:</w:t>
      </w:r>
    </w:p>
    <w:p w:rsidR="00A15C86" w:rsidRDefault="00A15C86" w:rsidP="00A15C8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15C86" w:rsidRDefault="00A15C86" w:rsidP="00A15C86">
      <w:pPr>
        <w:pStyle w:val="a3"/>
        <w:tabs>
          <w:tab w:val="clear" w:pos="4536"/>
          <w:tab w:val="clear" w:pos="9072"/>
        </w:tabs>
        <w:sectPr w:rsidR="00A15C8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63A11" w:rsidRPr="00A15C86" w:rsidRDefault="00563A11" w:rsidP="00563A11">
      <w:pPr>
        <w:contextualSpacing/>
        <w:jc w:val="right"/>
        <w:rPr>
          <w:sz w:val="26"/>
          <w:szCs w:val="26"/>
        </w:rPr>
      </w:pPr>
      <w:r w:rsidRPr="00A15C86">
        <w:rPr>
          <w:sz w:val="26"/>
          <w:szCs w:val="26"/>
        </w:rPr>
        <w:lastRenderedPageBreak/>
        <w:t>Приложение</w:t>
      </w:r>
    </w:p>
    <w:p w:rsidR="00563A11" w:rsidRPr="00A15C86" w:rsidRDefault="00563A11" w:rsidP="00563A11">
      <w:pPr>
        <w:ind w:left="33"/>
        <w:contextualSpacing/>
        <w:jc w:val="right"/>
        <w:rPr>
          <w:sz w:val="26"/>
          <w:szCs w:val="26"/>
        </w:rPr>
      </w:pPr>
      <w:r w:rsidRPr="00A15C86">
        <w:rPr>
          <w:sz w:val="26"/>
          <w:szCs w:val="26"/>
        </w:rPr>
        <w:t xml:space="preserve">к постановлению Администрации </w:t>
      </w:r>
    </w:p>
    <w:p w:rsidR="00563A11" w:rsidRPr="00A15C86" w:rsidRDefault="00563A11" w:rsidP="00563A11">
      <w:pPr>
        <w:contextualSpacing/>
        <w:jc w:val="right"/>
        <w:rPr>
          <w:sz w:val="26"/>
          <w:szCs w:val="26"/>
        </w:rPr>
      </w:pPr>
      <w:r w:rsidRPr="00A15C86">
        <w:rPr>
          <w:sz w:val="26"/>
          <w:szCs w:val="26"/>
        </w:rPr>
        <w:t xml:space="preserve">                   Белокалитвинского района </w:t>
      </w:r>
    </w:p>
    <w:p w:rsidR="00563A11" w:rsidRPr="00A15C86" w:rsidRDefault="00563A11" w:rsidP="00563A11">
      <w:pPr>
        <w:contextualSpacing/>
        <w:jc w:val="right"/>
        <w:rPr>
          <w:sz w:val="26"/>
          <w:szCs w:val="26"/>
        </w:rPr>
      </w:pPr>
      <w:r w:rsidRPr="00A15C86">
        <w:rPr>
          <w:sz w:val="26"/>
          <w:szCs w:val="26"/>
        </w:rPr>
        <w:t xml:space="preserve">от </w:t>
      </w:r>
      <w:r w:rsidR="00BF027D">
        <w:rPr>
          <w:sz w:val="26"/>
          <w:szCs w:val="26"/>
        </w:rPr>
        <w:t>13</w:t>
      </w:r>
      <w:r w:rsidRPr="00A15C86">
        <w:rPr>
          <w:sz w:val="26"/>
          <w:szCs w:val="26"/>
        </w:rPr>
        <w:t>.</w:t>
      </w:r>
      <w:r w:rsidR="00A15C86" w:rsidRPr="00A15C86">
        <w:rPr>
          <w:sz w:val="26"/>
          <w:szCs w:val="26"/>
        </w:rPr>
        <w:t>11</w:t>
      </w:r>
      <w:r w:rsidRPr="00A15C86">
        <w:rPr>
          <w:sz w:val="26"/>
          <w:szCs w:val="26"/>
        </w:rPr>
        <w:t>.2017 №</w:t>
      </w:r>
      <w:r w:rsidR="00BF027D">
        <w:rPr>
          <w:sz w:val="26"/>
          <w:szCs w:val="26"/>
        </w:rPr>
        <w:t xml:space="preserve"> 1669</w:t>
      </w:r>
      <w:bookmarkStart w:id="3" w:name="_GoBack"/>
      <w:bookmarkEnd w:id="3"/>
      <w:r w:rsidRPr="00A15C86">
        <w:rPr>
          <w:sz w:val="26"/>
          <w:szCs w:val="26"/>
        </w:rPr>
        <w:t xml:space="preserve"> </w:t>
      </w:r>
    </w:p>
    <w:p w:rsidR="00563A11" w:rsidRPr="00A15C86" w:rsidRDefault="00563A11" w:rsidP="00563A11">
      <w:pPr>
        <w:widowControl w:val="0"/>
        <w:tabs>
          <w:tab w:val="left" w:pos="142"/>
        </w:tabs>
        <w:jc w:val="right"/>
        <w:rPr>
          <w:sz w:val="26"/>
          <w:szCs w:val="26"/>
        </w:rPr>
      </w:pPr>
    </w:p>
    <w:p w:rsidR="00563A11" w:rsidRPr="00A15C86" w:rsidRDefault="00563A11" w:rsidP="00563A11">
      <w:pPr>
        <w:widowControl w:val="0"/>
        <w:tabs>
          <w:tab w:val="left" w:pos="142"/>
        </w:tabs>
        <w:jc w:val="center"/>
        <w:rPr>
          <w:sz w:val="26"/>
          <w:szCs w:val="26"/>
        </w:rPr>
      </w:pPr>
      <w:r w:rsidRPr="00A15C86">
        <w:rPr>
          <w:bCs/>
          <w:sz w:val="26"/>
          <w:szCs w:val="26"/>
        </w:rPr>
        <w:t xml:space="preserve">6. </w:t>
      </w:r>
      <w:r w:rsidRPr="00A15C86">
        <w:rPr>
          <w:sz w:val="26"/>
          <w:szCs w:val="26"/>
        </w:rPr>
        <w:t>Документы и информация,</w:t>
      </w:r>
    </w:p>
    <w:p w:rsidR="00563A11" w:rsidRPr="00A15C86" w:rsidRDefault="00563A11" w:rsidP="00563A11">
      <w:pPr>
        <w:widowControl w:val="0"/>
        <w:tabs>
          <w:tab w:val="left" w:pos="142"/>
        </w:tabs>
        <w:jc w:val="center"/>
        <w:rPr>
          <w:sz w:val="26"/>
          <w:szCs w:val="26"/>
        </w:rPr>
      </w:pPr>
      <w:r w:rsidRPr="00A15C86">
        <w:rPr>
          <w:sz w:val="26"/>
          <w:szCs w:val="26"/>
        </w:rPr>
        <w:t>предоставляемые для участия в открытом конкурсе</w:t>
      </w:r>
    </w:p>
    <w:p w:rsidR="00563A11" w:rsidRPr="00A15C86" w:rsidRDefault="00563A11" w:rsidP="00563A11">
      <w:pPr>
        <w:widowControl w:val="0"/>
        <w:tabs>
          <w:tab w:val="left" w:pos="142"/>
        </w:tabs>
        <w:ind w:left="42" w:firstLine="710"/>
        <w:jc w:val="both"/>
        <w:rPr>
          <w:sz w:val="26"/>
          <w:szCs w:val="26"/>
        </w:rPr>
      </w:pPr>
    </w:p>
    <w:p w:rsidR="00563A11" w:rsidRPr="00A15C86" w:rsidRDefault="00563A11" w:rsidP="00563A11">
      <w:pPr>
        <w:pStyle w:val="a6"/>
        <w:ind w:left="42" w:firstLine="710"/>
        <w:rPr>
          <w:sz w:val="26"/>
        </w:rPr>
      </w:pPr>
      <w:r w:rsidRPr="00A15C86">
        <w:rPr>
          <w:sz w:val="26"/>
        </w:rPr>
        <w:t>6.1. Для участия в открытом конкурсе Претендент подает в письменной форме в запечатанном конверте, не позволяющем просматривать содержимое заявки до вскрытия конверта, заявку на участие в открытом конкурсе по форме согласно приложению № 2 к конкурсной документации и следующие документы:</w:t>
      </w:r>
    </w:p>
    <w:p w:rsidR="00563A11" w:rsidRPr="00A15C86" w:rsidRDefault="00563A11" w:rsidP="00563A11">
      <w:pPr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6.1.1. Заверенную копию лицензии на осуществление перевозки пассажиров автомобильным транспортом, оборудованным для перевозок более восьми человек.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6.1.2. Заверенные копии документов, подтверждающих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перевозок, либо гарантийное обязательство по приобретению таких транспортных средств в сроки, определенные пунктом 9.1 раздела 9 конкурсной документации по форме согласно приложению № 9 к конкурсной документации.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Для транспортных средств, которыми Претендент владеет на праве собственности, предоставляется заверенная копия свидетельства о регистрации транспортного средства и заверенная копия паспорта транспортного средства.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Для транспортных средств, которыми Претендент владеет на ином законном основании (лизинг, аренда, безвозмездное пользование и иное), </w:t>
      </w:r>
      <w:proofErr w:type="gramStart"/>
      <w:r w:rsidRPr="00A15C86">
        <w:rPr>
          <w:sz w:val="26"/>
          <w:szCs w:val="26"/>
        </w:rPr>
        <w:t>предоставляется  заверенная</w:t>
      </w:r>
      <w:proofErr w:type="gramEnd"/>
      <w:r w:rsidRPr="00A15C86">
        <w:rPr>
          <w:sz w:val="26"/>
          <w:szCs w:val="26"/>
        </w:rPr>
        <w:t xml:space="preserve"> копия свидетельства о регистрации транспортного средства и  заверенная копия документа, подтверждающего законность владения транспортным средством </w:t>
      </w:r>
      <w:r w:rsidR="00A15C86">
        <w:rPr>
          <w:sz w:val="26"/>
          <w:szCs w:val="26"/>
        </w:rPr>
        <w:t xml:space="preserve">                            </w:t>
      </w:r>
      <w:r w:rsidRPr="00A15C86">
        <w:rPr>
          <w:sz w:val="26"/>
          <w:szCs w:val="26"/>
        </w:rPr>
        <w:t>(заверенная копия договора лизинга, аренды, генеральной доверенности и иное).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Для транспортных средств, по которым Претендент берет на себя обязательства по их приобретению, предоставляется гарантийное обязательство по форме согласно приложению № 9 к конкурсной документации.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В случае предоставления Претендентом документов и информации о транспортных средствах на два и более лотов в отношении одних и тех же транспортных средств, такие транспортные средства учитываются конкурсной комиссией при проведении конкурсных процедур только по лоту, имеющему наименьший порядковый номер по отношению к другим лотам, на которые Претендентом поданы заявки, содержащие документы и информацию по таким транспортным средствам.</w:t>
      </w:r>
    </w:p>
    <w:p w:rsidR="00563A11" w:rsidRPr="00A15C86" w:rsidRDefault="00563A11" w:rsidP="00563A11">
      <w:pPr>
        <w:pStyle w:val="ConsPlusNormal"/>
        <w:ind w:left="42" w:firstLine="710"/>
        <w:jc w:val="both"/>
        <w:rPr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 xml:space="preserve">6.1.3. Справку по форме согласно приложению № 6 к конкурсной документации, подтверждающую </w:t>
      </w:r>
      <w:proofErr w:type="spellStart"/>
      <w:r w:rsidRPr="00A15C86">
        <w:rPr>
          <w:rFonts w:ascii="Times New Roman" w:hAnsi="Times New Roman" w:cs="Times New Roman"/>
          <w:sz w:val="26"/>
          <w:szCs w:val="26"/>
        </w:rPr>
        <w:t>непроведение</w:t>
      </w:r>
      <w:proofErr w:type="spellEnd"/>
      <w:r w:rsidRPr="00A15C86">
        <w:rPr>
          <w:rFonts w:ascii="Times New Roman" w:hAnsi="Times New Roman" w:cs="Times New Roman"/>
          <w:sz w:val="26"/>
          <w:szCs w:val="26"/>
        </w:rPr>
        <w:t xml:space="preserve"> ликвидации участника открытого конкурса –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6.1.4. Справку по форме согласно приложению № 7 к конкурсной документации,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lastRenderedPageBreak/>
        <w:t>6.1.5. Заверенную копию договора простого товарищества в письменной форме</w:t>
      </w:r>
      <w:r w:rsidR="00A15C86">
        <w:rPr>
          <w:sz w:val="26"/>
          <w:szCs w:val="26"/>
        </w:rPr>
        <w:t xml:space="preserve">      </w:t>
      </w:r>
      <w:proofErr w:type="gramStart"/>
      <w:r w:rsidR="00A15C86">
        <w:rPr>
          <w:sz w:val="26"/>
          <w:szCs w:val="26"/>
        </w:rPr>
        <w:t xml:space="preserve">  </w:t>
      </w:r>
      <w:r w:rsidRPr="00A15C86">
        <w:rPr>
          <w:sz w:val="26"/>
          <w:szCs w:val="26"/>
        </w:rPr>
        <w:t xml:space="preserve"> (</w:t>
      </w:r>
      <w:proofErr w:type="gramEnd"/>
      <w:r w:rsidRPr="00A15C86">
        <w:rPr>
          <w:sz w:val="26"/>
          <w:szCs w:val="26"/>
        </w:rPr>
        <w:t>для участников договора простого товарищества).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Документы и заверенные копии документов, указанные в пунктах 6.1.1, 6.1.3 и 6.1.4 настоящего раздела предоставляются в отношении каждого участника договора простого товарищества.</w:t>
      </w:r>
    </w:p>
    <w:p w:rsidR="00563A11" w:rsidRPr="00A15C86" w:rsidRDefault="00563A11" w:rsidP="00563A11">
      <w:pPr>
        <w:ind w:firstLine="709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6.2.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№ 5 к конкурсной документации Претендент вправе предоставить в составе заявки следующие документы:</w:t>
      </w:r>
    </w:p>
    <w:p w:rsidR="00563A11" w:rsidRPr="00A15C86" w:rsidRDefault="00563A11" w:rsidP="00563A1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6.2.1. Для начисления баллов по критерию «Безопасность пассажирских перевозок» предоставляется справка по форме согласно приложению № 8 к конкурсной документации.</w:t>
      </w:r>
    </w:p>
    <w:p w:rsidR="00563A11" w:rsidRPr="00A15C86" w:rsidRDefault="00563A11" w:rsidP="00563A1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6.2.2. Для начисления баллов по критерию «Опыт пассажирских перевозок» предоставляются копии государственных контрактов, заключенных между Претендентом и министерством транспорта Ростовской области либо копии свидетельств об осуществлении перевозок по маршруту регулярных перевозок, выданных министерством транспорта Ростовской области.</w:t>
      </w:r>
    </w:p>
    <w:p w:rsidR="00563A11" w:rsidRPr="00A15C86" w:rsidRDefault="00563A11" w:rsidP="00563A11">
      <w:pPr>
        <w:pStyle w:val="ConsPlusNormal"/>
        <w:ind w:firstLine="708"/>
        <w:jc w:val="both"/>
        <w:rPr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6.2.3. Для начисления баллов по критерию «Характеристика транспортных средств или обязательств по приобретению транспортных средств» предоставляются следующие документы: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6.2.3.1. По возрастной и экологической характеристикам транспортных средств предоставляется заверенная копия свидетельства о регистрации транспортного средства и заверенная копия паспорта транспортного средства (для транспортных средств, которыми Претендент владеет на праве собственности или на ином законном основании) или гарантийное обязательство по форме согласно приложению № 9 к конкурсной документации.</w:t>
      </w:r>
    </w:p>
    <w:p w:rsidR="00563A11" w:rsidRPr="00A15C86" w:rsidRDefault="00563A11" w:rsidP="00563A1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6.2.3.2. По эргономической характеристике:</w:t>
      </w:r>
    </w:p>
    <w:p w:rsidR="00563A11" w:rsidRPr="00A15C86" w:rsidRDefault="00563A11" w:rsidP="00563A1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а)</w:t>
      </w:r>
      <w:r w:rsidR="00A15C86" w:rsidRP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>для подтверждения наличия транспортного средства, имеющего низкий пол и (или) оборудование для перевозок пассажиров с ограниченными возможностями передвижения и (или) пассажиров с детскими колясками в составе заявки должны содержаться цветные фотографические изображения транспортного средства, позволяющие достоверно идентифицировать наличие соответствующих приспособлений и устройств, при этом на изображении также должен быть виден государственный регистрационный знак транспортного средства. Также должны быть представлены заверенные копии документов, подтверждающих заводское оснащение или переоснащение автобуса указанными приспособлениями и устройствами.</w:t>
      </w:r>
    </w:p>
    <w:p w:rsidR="00563A11" w:rsidRPr="00A15C86" w:rsidRDefault="00563A11" w:rsidP="00563A1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б)</w:t>
      </w:r>
      <w:r w:rsid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>для подтверждения наличия транспортного средства, имеющего багажное отделение в составе заявки должны содержаться цветные фотографические изображения транспортного средства, позволяющие достоверно идентифицировать наличие багажного отделения, при этом на изображении также должен быть виден государственный регистрационный знак транспортного средства.</w:t>
      </w:r>
      <w:r w:rsidR="00A15C86" w:rsidRP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>Также должны быть представлены заверенные копии документов, подтверждающие наличие в заводском исполнении или дополнительно установленного багажного отделения.</w:t>
      </w:r>
    </w:p>
    <w:p w:rsidR="00563A11" w:rsidRPr="00A15C86" w:rsidRDefault="00563A11" w:rsidP="00563A11">
      <w:pPr>
        <w:pStyle w:val="ConsPlusNormal"/>
        <w:ind w:firstLine="708"/>
        <w:jc w:val="both"/>
        <w:rPr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в)</w:t>
      </w:r>
      <w:r w:rsidR="00A15C86" w:rsidRP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>для подтверждения наличия в транспортном средстве кондиционера в составе заявки должны содержаться цветные фотографические изображения транспортного средства, позволяющие достоверно идентифицировать наличие кондиционера, при этом на изображении также должен быть виден государственный регистрационный знак транспортного средства.</w:t>
      </w:r>
      <w:r w:rsidR="00A15C86" w:rsidRP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 xml:space="preserve">Также должны быть представлены заверенные копии документов, </w:t>
      </w:r>
      <w:r w:rsidRPr="00A15C86">
        <w:rPr>
          <w:rFonts w:ascii="Times New Roman" w:hAnsi="Times New Roman" w:cs="Times New Roman"/>
          <w:sz w:val="26"/>
          <w:szCs w:val="26"/>
        </w:rPr>
        <w:lastRenderedPageBreak/>
        <w:t>подтверждающие наличие в заводском исполнении или дополнительно установленного кондиционера.</w:t>
      </w:r>
    </w:p>
    <w:p w:rsidR="00563A11" w:rsidRPr="00A15C86" w:rsidRDefault="00563A11" w:rsidP="00563A11">
      <w:pPr>
        <w:widowControl w:val="0"/>
        <w:ind w:firstLine="708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г)</w:t>
      </w:r>
      <w:r w:rsidR="00A15C86" w:rsidRPr="00A15C86">
        <w:rPr>
          <w:sz w:val="26"/>
          <w:szCs w:val="26"/>
        </w:rPr>
        <w:t xml:space="preserve"> </w:t>
      </w:r>
      <w:r w:rsidRPr="00A15C86">
        <w:rPr>
          <w:sz w:val="26"/>
          <w:szCs w:val="26"/>
        </w:rPr>
        <w:t>для подтверждения класса транспортного в составе заявки должна содержаться копия документа (сервисная книжка, спецификация или иной документ), содержащий сведения о габаритных размерах транспортного средства.</w:t>
      </w:r>
    </w:p>
    <w:p w:rsidR="00563A11" w:rsidRPr="00A15C86" w:rsidRDefault="00563A11" w:rsidP="00563A11">
      <w:pPr>
        <w:pStyle w:val="ConsPlusNormal"/>
        <w:ind w:firstLine="708"/>
        <w:jc w:val="both"/>
        <w:rPr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д)</w:t>
      </w:r>
      <w:r w:rsidR="00A15C86" w:rsidRPr="00A15C86">
        <w:rPr>
          <w:rFonts w:ascii="Times New Roman" w:hAnsi="Times New Roman" w:cs="Times New Roman"/>
          <w:sz w:val="26"/>
          <w:szCs w:val="26"/>
        </w:rPr>
        <w:t xml:space="preserve"> </w:t>
      </w:r>
      <w:r w:rsidRPr="00A15C86">
        <w:rPr>
          <w:rFonts w:ascii="Times New Roman" w:hAnsi="Times New Roman" w:cs="Times New Roman"/>
          <w:sz w:val="26"/>
          <w:szCs w:val="26"/>
        </w:rPr>
        <w:t>для подтверждения использования в качестве моторного топлива природного газа в составе заявки должны содержаться заверенные копии паспортов транспортных средств, подтверждающие наличие в заводском исполнении или дополнительно установленного оборудования для использования в качестве моторного топлива природного газа.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6.2.4. Для начисления баллов по критерию «Обновление подвижного состава» предоставляется гарантийное обязательство по форме согласно приложению № 10 к конкурсной документации и заверенная копия договора о поставке транспортных средств. В договоре должны содержаться сведения о количестве транспортных средств, приобретаемых в каждом году, сроки поставки и оплаты. При этом количество транспортных средств должно соответствовать обязательствам, принятым на себя Претендентом в гарантийном обязательстве по форме согласно приложению № 10 к конкурсной документации.</w:t>
      </w:r>
    </w:p>
    <w:p w:rsidR="00563A11" w:rsidRPr="00A15C86" w:rsidRDefault="00563A11" w:rsidP="00563A11">
      <w:pPr>
        <w:pStyle w:val="ConsPlusNormal"/>
        <w:ind w:firstLine="708"/>
        <w:jc w:val="both"/>
        <w:rPr>
          <w:sz w:val="26"/>
          <w:szCs w:val="26"/>
        </w:rPr>
      </w:pPr>
      <w:r w:rsidRPr="00A15C86">
        <w:rPr>
          <w:rFonts w:ascii="Times New Roman" w:hAnsi="Times New Roman" w:cs="Times New Roman"/>
          <w:sz w:val="26"/>
          <w:szCs w:val="26"/>
        </w:rPr>
        <w:t>6.3. Для начисления баллов по пункту 6.2.3 настоящего раздела в отношении обязательств по приобретению подвижного состава предоставляется гарантийное обязательство по форме согласно приложению № 9 к конкурсной документации.</w:t>
      </w:r>
    </w:p>
    <w:p w:rsidR="00563A11" w:rsidRPr="00A15C86" w:rsidRDefault="00563A11" w:rsidP="00563A11">
      <w:pPr>
        <w:tabs>
          <w:tab w:val="left" w:pos="142"/>
        </w:tabs>
        <w:ind w:left="42" w:firstLine="710"/>
        <w:jc w:val="both"/>
        <w:rPr>
          <w:bCs/>
          <w:sz w:val="26"/>
          <w:szCs w:val="26"/>
        </w:rPr>
      </w:pPr>
      <w:r w:rsidRPr="00A15C86">
        <w:rPr>
          <w:sz w:val="26"/>
          <w:szCs w:val="26"/>
        </w:rPr>
        <w:t xml:space="preserve">6.4. В случае непредставления информации и документов, указанных в пунктах </w:t>
      </w:r>
      <w:r w:rsidR="00A15C86">
        <w:rPr>
          <w:sz w:val="26"/>
          <w:szCs w:val="26"/>
        </w:rPr>
        <w:t xml:space="preserve">              </w:t>
      </w:r>
      <w:r w:rsidRPr="00A15C86">
        <w:rPr>
          <w:sz w:val="26"/>
          <w:szCs w:val="26"/>
        </w:rPr>
        <w:t xml:space="preserve">6.2 – 6.3 настоящего раздела или представление </w:t>
      </w:r>
      <w:r w:rsidR="00A15C86" w:rsidRPr="00A15C86">
        <w:rPr>
          <w:sz w:val="26"/>
          <w:szCs w:val="26"/>
        </w:rPr>
        <w:t>информации,</w:t>
      </w:r>
      <w:r w:rsidRPr="00A15C86">
        <w:rPr>
          <w:sz w:val="26"/>
          <w:szCs w:val="26"/>
        </w:rPr>
        <w:t xml:space="preserve"> или документов, не содержащих необходимые для начисления баллов сведения, баллы по таким критериям не начисляются.</w:t>
      </w:r>
    </w:p>
    <w:p w:rsidR="00563A11" w:rsidRPr="00A15C86" w:rsidRDefault="00563A11" w:rsidP="00563A11">
      <w:pPr>
        <w:widowControl w:val="0"/>
        <w:ind w:left="42" w:firstLine="710"/>
        <w:jc w:val="both"/>
        <w:rPr>
          <w:sz w:val="26"/>
          <w:szCs w:val="26"/>
        </w:rPr>
      </w:pPr>
      <w:r w:rsidRPr="00A15C86">
        <w:rPr>
          <w:bCs/>
          <w:sz w:val="26"/>
          <w:szCs w:val="26"/>
        </w:rPr>
        <w:t xml:space="preserve">6.5. Документы и их копии, </w:t>
      </w:r>
      <w:r w:rsidRPr="00A15C86">
        <w:rPr>
          <w:sz w:val="26"/>
          <w:szCs w:val="26"/>
        </w:rPr>
        <w:t>прилагаемые к заявке на участие в открытом конкурсе</w:t>
      </w:r>
      <w:r w:rsidRPr="00A15C86">
        <w:rPr>
          <w:bCs/>
          <w:sz w:val="26"/>
          <w:szCs w:val="26"/>
        </w:rPr>
        <w:t>, должны быть поименованы в описи по форме согласно приложению № 3 к конкурсной документации.</w:t>
      </w:r>
    </w:p>
    <w:p w:rsidR="00563A11" w:rsidRPr="00A15C86" w:rsidRDefault="00563A11" w:rsidP="00563A11">
      <w:pPr>
        <w:ind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6.6. Подачей заявки на участие в открытом конкурсе Претендент подтверждает, что информация и документы, входящие в состав заявки на участие в открытом конкурсе поданы от его имени, и он несет ответственность за подлинность и достоверность представленных документов и информации.</w:t>
      </w:r>
    </w:p>
    <w:p w:rsidR="00563A11" w:rsidRPr="00A15C86" w:rsidRDefault="00563A11" w:rsidP="00563A11">
      <w:pPr>
        <w:ind w:left="42" w:firstLine="710"/>
        <w:jc w:val="both"/>
        <w:rPr>
          <w:sz w:val="26"/>
          <w:szCs w:val="26"/>
        </w:rPr>
      </w:pPr>
    </w:p>
    <w:p w:rsidR="00563A11" w:rsidRPr="00A15C86" w:rsidRDefault="00563A11" w:rsidP="00563A11">
      <w:pPr>
        <w:ind w:left="42" w:firstLine="710"/>
        <w:jc w:val="both"/>
        <w:rPr>
          <w:sz w:val="26"/>
          <w:szCs w:val="26"/>
        </w:rPr>
      </w:pPr>
    </w:p>
    <w:p w:rsidR="00563A11" w:rsidRPr="00A15C86" w:rsidRDefault="00563A11" w:rsidP="00563A11">
      <w:pPr>
        <w:ind w:left="42" w:firstLine="710"/>
        <w:jc w:val="both"/>
        <w:rPr>
          <w:sz w:val="26"/>
          <w:szCs w:val="26"/>
        </w:rPr>
      </w:pPr>
    </w:p>
    <w:p w:rsidR="00563A11" w:rsidRPr="00A15C86" w:rsidRDefault="00563A11" w:rsidP="00563A11">
      <w:pPr>
        <w:ind w:left="42" w:firstLine="71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Управляющий делами                                                                   Л.Г. Василенко</w:t>
      </w:r>
    </w:p>
    <w:p w:rsidR="00506564" w:rsidRPr="00A15C86" w:rsidRDefault="00506564">
      <w:pPr>
        <w:pStyle w:val="a3"/>
        <w:tabs>
          <w:tab w:val="clear" w:pos="4536"/>
          <w:tab w:val="clear" w:pos="9072"/>
        </w:tabs>
        <w:rPr>
          <w:sz w:val="26"/>
          <w:szCs w:val="26"/>
        </w:rPr>
      </w:pPr>
    </w:p>
    <w:sectPr w:rsidR="00506564" w:rsidRPr="00A15C86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91" w:rsidRDefault="00DD6A91">
      <w:r>
        <w:separator/>
      </w:r>
    </w:p>
  </w:endnote>
  <w:endnote w:type="continuationSeparator" w:id="0">
    <w:p w:rsidR="00DD6A91" w:rsidRDefault="00D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C86" w:rsidRPr="00844AAA" w:rsidRDefault="00A15C8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563A1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F027D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027D" w:rsidRPr="00BF027D">
      <w:rPr>
        <w:noProof/>
        <w:sz w:val="14"/>
      </w:rPr>
      <w:t>11/10/2017 8:58:00</w:t>
    </w:r>
    <w:r w:rsidR="00BF02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15C86" w:rsidRPr="00BF027D" w:rsidRDefault="00A15C86">
    <w:pPr>
      <w:pStyle w:val="a5"/>
      <w:jc w:val="right"/>
      <w:rPr>
        <w:sz w:val="14"/>
      </w:rPr>
    </w:pPr>
    <w:r>
      <w:rPr>
        <w:sz w:val="14"/>
      </w:rPr>
      <w:t>стр</w:t>
    </w:r>
    <w:r w:rsidRPr="00BF027D">
      <w:rPr>
        <w:sz w:val="14"/>
      </w:rPr>
      <w:t xml:space="preserve">. </w:t>
    </w:r>
    <w:r>
      <w:rPr>
        <w:sz w:val="14"/>
      </w:rPr>
      <w:fldChar w:fldCharType="begin"/>
    </w:r>
    <w:r w:rsidRPr="00BF027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F027D">
      <w:rPr>
        <w:sz w:val="14"/>
      </w:rPr>
      <w:instrText xml:space="preserve"> </w:instrText>
    </w:r>
    <w:r>
      <w:rPr>
        <w:sz w:val="14"/>
      </w:rPr>
      <w:fldChar w:fldCharType="separate"/>
    </w:r>
    <w:r w:rsidR="00BF027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027D">
      <w:rPr>
        <w:noProof/>
        <w:sz w:val="14"/>
      </w:rPr>
      <w:t>4</w:t>
    </w:r>
    <w:r>
      <w:rPr>
        <w:sz w:val="14"/>
      </w:rPr>
      <w:fldChar w:fldCharType="end"/>
    </w:r>
    <w:r w:rsidRPr="00BF027D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86" w:rsidRPr="00A15C8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86">
      <w:rPr>
        <w:noProof/>
        <w:sz w:val="14"/>
        <w:lang w:val="en-US"/>
      </w:rPr>
      <w:t>G</w:t>
    </w:r>
    <w:r w:rsidR="00A15C86" w:rsidRPr="00A15C86">
      <w:rPr>
        <w:noProof/>
        <w:sz w:val="14"/>
      </w:rPr>
      <w:t>:\Мои документы\Постановления\изм_1496.</w:t>
    </w:r>
    <w:r w:rsidR="00A15C8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027D" w:rsidRPr="00BF027D">
      <w:rPr>
        <w:noProof/>
        <w:sz w:val="14"/>
      </w:rPr>
      <w:t>11/10/2017 8:58:00</w:t>
    </w:r>
    <w:r w:rsidR="00BF02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15C8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F027D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027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91" w:rsidRDefault="00DD6A91">
      <w:r>
        <w:separator/>
      </w:r>
    </w:p>
  </w:footnote>
  <w:footnote w:type="continuationSeparator" w:id="0">
    <w:p w:rsidR="00DD6A91" w:rsidRDefault="00DD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F94A4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D4532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532B5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941E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969A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E6E7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D76C9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5264D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35A42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7D49D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E542D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26F0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80C6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0A87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FE0BE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E50C3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C44A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E944C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11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3A11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3BF1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15C86"/>
    <w:rsid w:val="00A40C35"/>
    <w:rsid w:val="00A773B5"/>
    <w:rsid w:val="00A80C39"/>
    <w:rsid w:val="00AB4651"/>
    <w:rsid w:val="00AB490E"/>
    <w:rsid w:val="00B36163"/>
    <w:rsid w:val="00BB6ED2"/>
    <w:rsid w:val="00BF027D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6A91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DDA55"/>
  <w15:chartTrackingRefBased/>
  <w15:docId w15:val="{79D81DA2-7898-4327-8E02-36986C4E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563A11"/>
    <w:pPr>
      <w:suppressAutoHyphens/>
      <w:ind w:firstLine="426"/>
      <w:jc w:val="both"/>
    </w:pPr>
    <w:rPr>
      <w:bCs/>
      <w:sz w:val="28"/>
      <w:szCs w:val="26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563A11"/>
    <w:rPr>
      <w:bCs/>
      <w:sz w:val="28"/>
      <w:szCs w:val="26"/>
      <w:lang w:eastAsia="zh-CN"/>
    </w:rPr>
  </w:style>
  <w:style w:type="paragraph" w:customStyle="1" w:styleId="ConsPlusNormal">
    <w:name w:val="ConsPlusNormal"/>
    <w:rsid w:val="00563A11"/>
    <w:pPr>
      <w:widowControl w:val="0"/>
      <w:suppressAutoHyphens/>
      <w:ind w:firstLine="720"/>
    </w:pPr>
    <w:rPr>
      <w:rFonts w:ascii="Arial" w:hAnsi="Arial" w:cs="Arial"/>
      <w:color w:val="00000A"/>
      <w:sz w:val="24"/>
    </w:rPr>
  </w:style>
  <w:style w:type="paragraph" w:styleId="a8">
    <w:name w:val="Balloon Text"/>
    <w:basedOn w:val="a"/>
    <w:link w:val="a9"/>
    <w:rsid w:val="00A15C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15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3</cp:revision>
  <cp:lastPrinted>2017-11-10T05:57:00Z</cp:lastPrinted>
  <dcterms:created xsi:type="dcterms:W3CDTF">2017-11-10T05:51:00Z</dcterms:created>
  <dcterms:modified xsi:type="dcterms:W3CDTF">2017-11-16T11:09:00Z</dcterms:modified>
</cp:coreProperties>
</file>