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2DCE7">
      <w:pPr>
        <w:pStyle w:val="12"/>
      </w:pPr>
      <w:bookmarkStart w:id="2" w:name="_GoBack"/>
      <w:bookmarkEnd w:id="2"/>
      <w:r>
        <w:t xml:space="preserve">        </w:t>
      </w:r>
    </w:p>
    <w:p w14:paraId="1ACA2213">
      <w:pPr>
        <w:pStyle w:val="12"/>
      </w:pPr>
      <w:r>
        <w:t xml:space="preserve">   СОГЛАШЕНИЕ О ПЕРЕДАЧЕ ПОЛНОМОЧИЙ № 3</w:t>
      </w:r>
    </w:p>
    <w:p w14:paraId="478F4F5B">
      <w:pPr>
        <w:pStyle w:val="12"/>
      </w:pPr>
    </w:p>
    <w:p w14:paraId="326BCF9D">
      <w:pPr>
        <w:rPr>
          <w:sz w:val="28"/>
          <w:szCs w:val="28"/>
        </w:rPr>
      </w:pPr>
      <w:r>
        <w:rPr>
          <w:sz w:val="28"/>
          <w:szCs w:val="28"/>
        </w:rPr>
        <w:t xml:space="preserve">р. п. Шолоховский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« 18» декабря  2024 г.</w:t>
      </w:r>
    </w:p>
    <w:p w14:paraId="025E3A47">
      <w:pPr>
        <w:ind w:firstLine="567"/>
        <w:jc w:val="both"/>
        <w:rPr>
          <w:sz w:val="28"/>
          <w:szCs w:val="28"/>
        </w:rPr>
      </w:pPr>
    </w:p>
    <w:p w14:paraId="723B2AF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Шолоховского городского поселения, именуемая в дальнейшем </w:t>
      </w:r>
      <w:r>
        <w:rPr>
          <w:b/>
          <w:sz w:val="28"/>
          <w:szCs w:val="28"/>
        </w:rPr>
        <w:t>Поселение</w:t>
      </w:r>
      <w:r>
        <w:rPr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лице главы Администрации Шолоховского городского  поселения Снисаренко Ольги Павловны</w:t>
      </w:r>
      <w:r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действующей на основании Устава муниципального образования «Шолоховское городское поселение», с одной стороны, и Администрация Белокалитвинского района, именуемая в дальнейшем </w:t>
      </w:r>
      <w:r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заключили настоящее соглашение о передаче полномочий (далее – Соглашение) о нижеследующем:</w:t>
      </w:r>
    </w:p>
    <w:p w14:paraId="42701302">
      <w:pPr>
        <w:ind w:firstLine="567"/>
        <w:jc w:val="both"/>
        <w:rPr>
          <w:b/>
          <w:sz w:val="16"/>
          <w:szCs w:val="16"/>
        </w:rPr>
      </w:pPr>
    </w:p>
    <w:p w14:paraId="7163BB8C">
      <w:pPr>
        <w:numPr>
          <w:ilvl w:val="0"/>
          <w:numId w:val="3"/>
        </w:numPr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Предмет соглашения и перечень полномочий</w:t>
      </w:r>
    </w:p>
    <w:p w14:paraId="150BF063">
      <w:pPr>
        <w:ind w:left="567"/>
        <w:rPr>
          <w:sz w:val="16"/>
          <w:szCs w:val="16"/>
        </w:rPr>
      </w:pPr>
    </w:p>
    <w:p w14:paraId="532585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По настоящему Соглашению Поселение передает, а Муниципальный район принимает на себя полномочия по вопросам местного значения предусмотренные пунктом 6 части 1 статьи 14 Федерального закона от 06.10.2012 № 131-ФЗ «Об общих принципах организации местного самоуправления в Российской Федерации» и Жилищным кодексом Российской Федерации, в части осуществления муниципального жилищного контроля.</w:t>
      </w:r>
    </w:p>
    <w:p w14:paraId="5EC554C9">
      <w:pPr>
        <w:jc w:val="both"/>
        <w:rPr>
          <w:b/>
          <w:bCs/>
          <w:sz w:val="16"/>
          <w:szCs w:val="16"/>
        </w:rPr>
      </w:pPr>
    </w:p>
    <w:p w14:paraId="6A7D7195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 w14:paraId="64B62436">
      <w:pPr>
        <w:ind w:left="360"/>
        <w:rPr>
          <w:b/>
          <w:sz w:val="28"/>
          <w:szCs w:val="28"/>
        </w:rPr>
      </w:pPr>
    </w:p>
    <w:p w14:paraId="7D691097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2.1. Поселение имеет право:</w:t>
      </w:r>
    </w:p>
    <w:p w14:paraId="58D8251D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Осуществлять контроль за исполнением </w:t>
      </w:r>
      <w:r>
        <w:rPr>
          <w:bCs/>
          <w:sz w:val="28"/>
          <w:szCs w:val="28"/>
        </w:rPr>
        <w:t xml:space="preserve">Муниципальным районом переданных </w:t>
      </w:r>
      <w:r>
        <w:rPr>
          <w:sz w:val="28"/>
          <w:szCs w:val="28"/>
        </w:rPr>
        <w:t>полномочий, а также за целевым использованием предоставленных финансовых средств в виде межбюджетных трансфертов.</w:t>
      </w:r>
    </w:p>
    <w:p w14:paraId="016C5EFB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Получать от </w:t>
      </w:r>
      <w:r>
        <w:rPr>
          <w:bCs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информацию об использовании финансовых средств в виде межбюджетных трансфертов.</w:t>
      </w:r>
    </w:p>
    <w:p w14:paraId="48945B14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Требовать возврата суммы перечисленных финансовых средств в виде межбюджетных трансфертов в случае их нецелевого использования </w:t>
      </w:r>
      <w:r>
        <w:rPr>
          <w:bCs/>
          <w:sz w:val="28"/>
          <w:szCs w:val="28"/>
        </w:rPr>
        <w:t>Муниципальным районом</w:t>
      </w:r>
      <w:r>
        <w:rPr>
          <w:sz w:val="28"/>
          <w:szCs w:val="28"/>
        </w:rPr>
        <w:t>.</w:t>
      </w:r>
    </w:p>
    <w:p w14:paraId="7A3494F8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Требовать возврата суммы перечисленных финансовых средств в виде межбюджетных трансфертов в случае неисполнения </w:t>
      </w:r>
      <w:r>
        <w:rPr>
          <w:bCs/>
          <w:sz w:val="28"/>
          <w:szCs w:val="28"/>
        </w:rPr>
        <w:t xml:space="preserve">Муниципальным районом переданных </w:t>
      </w:r>
      <w:r>
        <w:rPr>
          <w:sz w:val="28"/>
          <w:szCs w:val="28"/>
        </w:rPr>
        <w:t>полномочий.</w:t>
      </w:r>
    </w:p>
    <w:p w14:paraId="1D9E08A6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2.2. Поселение обязано:</w:t>
      </w:r>
    </w:p>
    <w:p w14:paraId="2CC890AB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Передать </w:t>
      </w:r>
      <w:r>
        <w:rPr>
          <w:bCs/>
          <w:sz w:val="28"/>
          <w:szCs w:val="28"/>
        </w:rPr>
        <w:t>Муниципальному району</w:t>
      </w:r>
      <w:r>
        <w:rPr>
          <w:sz w:val="28"/>
          <w:szCs w:val="28"/>
        </w:rPr>
        <w:t xml:space="preserve"> финансовые средства в виде межбюджетных трансфертов на реализацию переданных полномочий.</w:t>
      </w:r>
    </w:p>
    <w:p w14:paraId="63E25C56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 Осуществлять контроль за исполнением </w:t>
      </w:r>
      <w:r>
        <w:rPr>
          <w:bCs/>
          <w:sz w:val="28"/>
          <w:szCs w:val="28"/>
        </w:rPr>
        <w:t>Муниципальным районом</w:t>
      </w:r>
      <w:r>
        <w:rPr>
          <w:sz w:val="28"/>
          <w:szCs w:val="28"/>
        </w:rPr>
        <w:t xml:space="preserve"> переданных полномочий, а также за использованием Муниципальным районом предоставленных на эти цели финансовых средств в виде межбюджетных трансфертов. </w:t>
      </w:r>
    </w:p>
    <w:p w14:paraId="2F7C2C9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Предоставлять </w:t>
      </w:r>
      <w:r>
        <w:rPr>
          <w:bCs/>
          <w:sz w:val="28"/>
          <w:szCs w:val="28"/>
        </w:rPr>
        <w:t>Муниципальному району</w:t>
      </w:r>
      <w:r>
        <w:rPr>
          <w:sz w:val="28"/>
          <w:szCs w:val="28"/>
        </w:rPr>
        <w:t xml:space="preserve"> информацию, необходимую для осуществления переданных полномочий.</w:t>
      </w:r>
    </w:p>
    <w:p w14:paraId="7214AEDE">
      <w:pPr>
        <w:tabs>
          <w:tab w:val="left" w:pos="567"/>
          <w:tab w:val="left" w:pos="1276"/>
        </w:tabs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>2.3. Муниципальный район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имеет право:</w:t>
      </w:r>
    </w:p>
    <w:p w14:paraId="691BB8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Получать от Поселения сведения и документы, необходимые для исполнения переданных полномочий.</w:t>
      </w:r>
    </w:p>
    <w:p w14:paraId="3B3B2F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2.3.2. Получать финансовое обеспечение полномочий за счет финансовых средств в виде межбюджетных трансфертов.</w:t>
      </w:r>
    </w:p>
    <w:p w14:paraId="1BF62EE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2.3.3. Использовать собственные материальные ресурсы и финансовые средства на осуществление переданных полномочий.</w:t>
      </w:r>
    </w:p>
    <w:p w14:paraId="43C8C96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Муниципальный район обязан:</w:t>
      </w:r>
    </w:p>
    <w:p w14:paraId="4C5FD2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Осуществлять переданные полномочия в соответствии с требованиями действующего законодательства.</w:t>
      </w:r>
    </w:p>
    <w:p w14:paraId="215200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2.4.2. Обеспечивать целевое использование межбюджетных трансфертов, предоставленных Поселением, исключительно на осуществление переданных полномочий.</w:t>
      </w:r>
    </w:p>
    <w:p w14:paraId="6A15D2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2.4.3. Представлять Поселению отчёт об использовании финансовых средств в виде межбюджетных трансфертов, а также иную необходимую информацию.</w:t>
      </w:r>
    </w:p>
    <w:p w14:paraId="678CCD1D">
      <w:pPr>
        <w:ind w:firstLine="567"/>
        <w:jc w:val="center"/>
        <w:rPr>
          <w:sz w:val="28"/>
          <w:szCs w:val="28"/>
        </w:rPr>
      </w:pPr>
    </w:p>
    <w:p w14:paraId="44641E1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 Передаваемое имущество и финансирование полномочий</w:t>
      </w:r>
    </w:p>
    <w:p w14:paraId="0E994D1B">
      <w:pPr>
        <w:ind w:firstLine="567"/>
        <w:jc w:val="both"/>
        <w:rPr>
          <w:sz w:val="28"/>
          <w:szCs w:val="28"/>
        </w:rPr>
      </w:pPr>
    </w:p>
    <w:p w14:paraId="7C8004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3.1. Передача имущества и материальных ресурсов в целях осуществления переданных полномочий не осуществляется. </w:t>
      </w:r>
    </w:p>
    <w:p w14:paraId="63B229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Финансовые средства, необходимые для исполнения полномочий, предоставляются из бюджета поселения в районный бюджет в форме межбюджетных трансфертов.</w:t>
      </w:r>
    </w:p>
    <w:p w14:paraId="5B063E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Общая сумма межбюджетных трансфертов по настоящему Соглашению составляет 396 900 (Триста девяносто шесть тысяч девятьсот) рублей 00 копеек, в том числе:</w:t>
      </w:r>
    </w:p>
    <w:p w14:paraId="20E59C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2025 год в сумме 132 300 (Сто тридцать две тысячи триста) рублей 00 копеек;</w:t>
      </w:r>
    </w:p>
    <w:p w14:paraId="58367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 на 2026 год в сумме 132 300 (Сто тридцать две тысячи триста) рублей 00 копеек;</w:t>
      </w:r>
    </w:p>
    <w:p w14:paraId="684000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 на 2027 год  в сумме 132 300 (Сто тридцать две тысячи триста) рублей 00 копеек;</w:t>
      </w:r>
    </w:p>
    <w:p w14:paraId="3DC974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содержания и материальных затрат  одной единицы ведущего специалиста по переданным полномочиям по осуществлению муниципального жилищного контроля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отдела жилищно-коммунального хозяйства администрации  Муниципального района согласно расчету (Приложение №1).</w:t>
      </w:r>
    </w:p>
    <w:p w14:paraId="0B7C8A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3.4. Объем межбюджетных трансфертов, необходимых для осуществления полномочий, утверждается решением Собрания депутатов Шолоховского городского поселения о бюджете Шолоховского городского поселения Белокалитвинского района на очередной финансовый 2025 год и на плановый период 2026 и 2027 годов в соответствии с Бюджетным Кодексом Российской Федерации.</w:t>
      </w:r>
    </w:p>
    <w:p w14:paraId="649703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Предоставление межбюджетных трансфертов осуществляется в пределах лимитов бюджетных обязательств, предусмотренных сводной бюджетной росписью бюджета поселения.</w:t>
      </w:r>
    </w:p>
    <w:p w14:paraId="1D917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Расходы бюджета поселения на предоставление межбюджетных трансфертов и расходы районного бюджета,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12627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Перечисление межбюджетных трансфертов осуществляется ежемесячно не позднее 15-го числа согласно графику (Приложение №2).</w:t>
      </w:r>
    </w:p>
    <w:p w14:paraId="0E033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Расходование межбюджетных трансфертов на цели, не предусмотренные Соглашением, не допускается.</w:t>
      </w:r>
    </w:p>
    <w:p w14:paraId="7D5B88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 В случае прекращения действия Соглашения неиспользованные межбюджетные трансферты, перечисленные Поселением в доход районного бюджета на осуществление переданных полномочий, подлежат возврату в бюджет поселения в порядке, определенном бюджетным законодательством.</w:t>
      </w:r>
    </w:p>
    <w:p w14:paraId="64E05E53">
      <w:pPr>
        <w:widowControl w:val="0"/>
        <w:tabs>
          <w:tab w:val="left" w:pos="868"/>
        </w:tabs>
        <w:suppressAutoHyphens w:val="0"/>
        <w:spacing w:line="322" w:lineRule="exact"/>
        <w:jc w:val="both"/>
        <w:rPr>
          <w:i/>
          <w:sz w:val="28"/>
          <w:szCs w:val="28"/>
          <w:u w:val="single"/>
        </w:rPr>
      </w:pPr>
    </w:p>
    <w:p w14:paraId="3B3EF364">
      <w:pPr>
        <w:numPr>
          <w:ilvl w:val="0"/>
          <w:numId w:val="4"/>
        </w:numPr>
        <w:suppressAutoHyphens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Отчетность и контроль</w:t>
      </w:r>
    </w:p>
    <w:p w14:paraId="2AD70043">
      <w:pPr>
        <w:suppressAutoHyphens w:val="0"/>
        <w:ind w:left="1185"/>
        <w:rPr>
          <w:bCs/>
          <w:sz w:val="28"/>
          <w:szCs w:val="28"/>
        </w:rPr>
      </w:pPr>
    </w:p>
    <w:p w14:paraId="0A3142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Отчет об использовании средств межбюджетных трансфертов Муниципальный район предоставляет Поселению однократно не позднее 15-го числа первого месяца, следующего за отчетным годом, по прилагаемой форме (Приложение №3).</w:t>
      </w:r>
    </w:p>
    <w:p w14:paraId="4EE358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Муниципальный район обеспечивает условия для беспрепятственного проведения мероприятий контроля за исполнением переданных полномочий.</w:t>
      </w:r>
    </w:p>
    <w:p w14:paraId="652868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Контроль за использованием межбюджетных трансфертов, предоставленных Муниципальному району, осуществляется путем предоставления Поселению годовой отчетности об использовании финансовых средств, предоставленных в виде межбюджетных трансфертов на осуществление передаваемых полномочий.</w:t>
      </w:r>
    </w:p>
    <w:p w14:paraId="562D4F5D">
      <w:pPr>
        <w:ind w:firstLine="465"/>
        <w:jc w:val="both"/>
        <w:rPr>
          <w:b/>
          <w:sz w:val="28"/>
          <w:szCs w:val="28"/>
        </w:rPr>
      </w:pPr>
    </w:p>
    <w:p w14:paraId="48323102">
      <w:pPr>
        <w:ind w:firstLine="4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Ответственность сторон за неисполнение </w:t>
      </w:r>
    </w:p>
    <w:p w14:paraId="7EEB36AB">
      <w:pPr>
        <w:ind w:firstLine="465"/>
        <w:jc w:val="center"/>
        <w:rPr>
          <w:sz w:val="28"/>
          <w:szCs w:val="28"/>
        </w:rPr>
      </w:pPr>
      <w:r>
        <w:rPr>
          <w:sz w:val="28"/>
          <w:szCs w:val="28"/>
        </w:rPr>
        <w:t>или ненадлежащее исполнение обязанностей по Соглашению</w:t>
      </w:r>
    </w:p>
    <w:p w14:paraId="77B31087">
      <w:pPr>
        <w:ind w:firstLine="465"/>
        <w:jc w:val="center"/>
        <w:rPr>
          <w:b/>
          <w:sz w:val="28"/>
          <w:szCs w:val="28"/>
        </w:rPr>
      </w:pPr>
    </w:p>
    <w:p w14:paraId="38BF6389">
      <w:pPr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неисполнение или ненадлежащее исполнение обязательств по Соглашению стороны несут ответственность в соответствии с действующим законодательством РФ.</w:t>
      </w:r>
    </w:p>
    <w:p w14:paraId="1C55B5EB">
      <w:pPr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район несет ответственность за осуществление переданных полномочий, кроме случая неисполнения Поселением обязательства по финансированию осуществления переданных полномочий.</w:t>
      </w:r>
    </w:p>
    <w:p w14:paraId="4568D1ED">
      <w:pPr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район несет ответственность за нецелевое использование финансовых средств в виде межбюджетных трансфертов в порядке, предусмотренном действующим законодательством.</w:t>
      </w:r>
    </w:p>
    <w:p w14:paraId="128356E9">
      <w:pPr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несвоевременное перечисление Поселением межбюджетных трансфертов взимается пеня в размере одной трехсотой действующей на дату оплаты ключевой ставки Центрального Банка Российской Федерации за каждый день просрочки.</w:t>
      </w:r>
    </w:p>
    <w:p w14:paraId="6F0B599E">
      <w:pPr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Нецелевое использование финансовых средств в виде межбюджетных трансфертов влечет бесспорный возврат Муниципальным районом полученной суммы средств, в размере средств, использованных не по целевому назначению, и (или) в размере платы за пользование ими либо приостановление (сокращение) предоставления межбюджетных трансфертов.</w:t>
      </w:r>
    </w:p>
    <w:p w14:paraId="30DBDEAF">
      <w:pPr>
        <w:ind w:left="567"/>
        <w:jc w:val="both"/>
        <w:rPr>
          <w:sz w:val="28"/>
          <w:szCs w:val="28"/>
        </w:rPr>
      </w:pPr>
    </w:p>
    <w:p w14:paraId="365C8BA9">
      <w:pPr>
        <w:numPr>
          <w:ilvl w:val="0"/>
          <w:numId w:val="5"/>
        </w:numPr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Вступление в силу, срок действия </w:t>
      </w:r>
    </w:p>
    <w:p w14:paraId="4C495FDA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и порядок расторжения Соглашения</w:t>
      </w:r>
    </w:p>
    <w:p w14:paraId="63AC06A9">
      <w:pPr>
        <w:ind w:left="567"/>
        <w:jc w:val="both"/>
        <w:rPr>
          <w:sz w:val="28"/>
          <w:szCs w:val="28"/>
        </w:rPr>
      </w:pPr>
    </w:p>
    <w:p w14:paraId="360918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Соглашение вступает в силу после официального опубликования, но не ранее «01» января 2025 г., и действует до «31» декабря 2027 г.</w:t>
      </w:r>
    </w:p>
    <w:p w14:paraId="3BB91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Досрочное расторжение Соглашения возможно:</w:t>
      </w:r>
    </w:p>
    <w:p w14:paraId="317D0D79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6.2.1. По соглашению сторон.</w:t>
      </w:r>
    </w:p>
    <w:p w14:paraId="10EB7FF9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6.2.2. В одностороннем порядке в случае:</w:t>
      </w:r>
    </w:p>
    <w:p w14:paraId="1840F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изменения действующего федерального или областного законодательства;</w:t>
      </w:r>
    </w:p>
    <w:p w14:paraId="2DAA456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неисполнения или ненадлежащего исполнения одной из сторон своих обязанностей в соответствии с настоящим Соглашением;</w:t>
      </w:r>
    </w:p>
    <w:p w14:paraId="217A32A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6.2.3. </w:t>
      </w:r>
      <w:r>
        <w:rPr>
          <w:sz w:val="28"/>
          <w:szCs w:val="28"/>
        </w:rPr>
        <w:t>В судебном порядке.</w:t>
      </w:r>
    </w:p>
    <w:p w14:paraId="4EC87D0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6.3. Уведомление о расторжении Соглашения направляется другой стороне </w:t>
      </w:r>
      <w:r>
        <w:rPr>
          <w:sz w:val="28"/>
          <w:szCs w:val="28"/>
        </w:rPr>
        <w:t>не менее чем за 2 месяца до расторжения.</w:t>
      </w:r>
    </w:p>
    <w:p w14:paraId="74C05C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Расторжение Соглашения влечет за собой:</w:t>
      </w:r>
    </w:p>
    <w:p w14:paraId="766AAC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прекращение обязательств Муниципального района по осуществлению переданных полномочий;</w:t>
      </w:r>
    </w:p>
    <w:p w14:paraId="6AA8E8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возврат Муниципальным районом неиспользованного остатка межбюджетных трансфертов в течение 10-ти рабочих дней с даты расторжения Соглашения.</w:t>
      </w:r>
    </w:p>
    <w:p w14:paraId="019E6529">
      <w:pPr>
        <w:ind w:firstLine="567"/>
        <w:jc w:val="both"/>
        <w:rPr>
          <w:color w:val="000000"/>
          <w:sz w:val="28"/>
          <w:szCs w:val="28"/>
        </w:rPr>
      </w:pPr>
    </w:p>
    <w:p w14:paraId="6A5B1156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Заключительные положения</w:t>
      </w:r>
    </w:p>
    <w:p w14:paraId="53EA28D5">
      <w:pPr>
        <w:ind w:left="450"/>
        <w:rPr>
          <w:sz w:val="28"/>
          <w:szCs w:val="28"/>
        </w:rPr>
      </w:pPr>
    </w:p>
    <w:p w14:paraId="50A63B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Споры, возникшие между сторонами в связи с исполнением настоящего Соглашения, решаются путем направления претензии, срок ответа на которую – 10 рабочих дней. При недостижении согласия споры между Сторонами решаются в судебном порядке в Арбитражном суде Ростовской области.</w:t>
      </w:r>
    </w:p>
    <w:p w14:paraId="4720FC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Все изменения и дополнения к настоящему Соглашению согласовываются Сторонами и оформляются в виде дополнительного соглашения к Соглашению.</w:t>
      </w:r>
    </w:p>
    <w:p w14:paraId="4756C4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14:paraId="0EF2064D">
      <w:pPr>
        <w:jc w:val="both"/>
        <w:rPr>
          <w:sz w:val="28"/>
          <w:szCs w:val="28"/>
        </w:rPr>
      </w:pPr>
    </w:p>
    <w:p w14:paraId="3C64F9A9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Юридические адреса, банковские реквизиты и подписи сторон:</w:t>
      </w:r>
    </w:p>
    <w:p w14:paraId="75EBCFC2">
      <w:pPr>
        <w:ind w:left="450"/>
        <w:rPr>
          <w:sz w:val="28"/>
          <w:szCs w:val="28"/>
        </w:rPr>
      </w:pPr>
    </w:p>
    <w:tbl>
      <w:tblPr>
        <w:tblStyle w:val="9"/>
        <w:tblW w:w="10456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4"/>
        <w:gridCol w:w="5152"/>
      </w:tblGrid>
      <w:tr w14:paraId="6576FAB1">
        <w:trPr>
          <w:wBefore w:w="0" w:type="dxa"/>
        </w:trPr>
        <w:tc>
          <w:tcPr>
            <w:tcW w:w="5304" w:type="dxa"/>
            <w:shd w:val="clear" w:color="auto" w:fill="auto"/>
            <w:noWrap w:val="0"/>
            <w:vAlign w:val="top"/>
          </w:tcPr>
          <w:tbl>
            <w:tblPr>
              <w:tblStyle w:val="9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12DC91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0EE02C3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14:paraId="21D2D7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6B3563F1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444E3C20">
                  <w:pPr>
                    <w:snapToGrid w:val="0"/>
                    <w:ind w:right="284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</w:t>
                  </w:r>
                </w:p>
                <w:p w14:paraId="676FAC68">
                  <w:pPr>
                    <w:snapToGrid w:val="0"/>
                    <w:ind w:right="284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Шолоховского городского поселения</w:t>
                  </w:r>
                </w:p>
                <w:p w14:paraId="251D2FDE">
                  <w:pPr>
                    <w:suppressAutoHyphens w:val="0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347022, Ростовская область, Белокалитвинский район, р. п. Шолоховский</w:t>
                  </w:r>
                </w:p>
                <w:p w14:paraId="0BD7612C">
                  <w:pPr>
                    <w:suppressAutoHyphens w:val="0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ИНН 6142019400  КПП 614201001</w:t>
                  </w:r>
                </w:p>
                <w:p w14:paraId="601C8C02">
                  <w:pPr>
                    <w:suppressAutoHyphens w:val="0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УФК по Ростовской области </w:t>
                  </w:r>
                </w:p>
                <w:p w14:paraId="7560DDF3">
                  <w:pPr>
                    <w:suppressAutoHyphens w:val="0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(Администрация Шолоховского городского поселения),</w:t>
                  </w:r>
                </w:p>
                <w:p w14:paraId="3199210F">
                  <w:pPr>
                    <w:suppressAutoHyphens w:val="0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л/с  03583139610</w:t>
                  </w:r>
                </w:p>
                <w:p w14:paraId="409BE950">
                  <w:pPr>
                    <w:suppressAutoHyphens w:val="0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Казн.сч. 03231643606061025800</w:t>
                  </w:r>
                </w:p>
                <w:p w14:paraId="10EE1D45">
                  <w:pPr>
                    <w:suppressAutoHyphens w:val="0"/>
                    <w:rPr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ЕКС 40102810845370000050</w:t>
                  </w:r>
                </w:p>
                <w:p w14:paraId="6CEAE08A">
                  <w:pPr>
                    <w:suppressAutoHyphens w:val="0"/>
                    <w:rPr>
                      <w:spacing w:val="-3"/>
                      <w:sz w:val="28"/>
                      <w:szCs w:val="28"/>
                      <w:lang w:eastAsia="ru-RU"/>
                    </w:rPr>
                  </w:pPr>
                  <w:r>
                    <w:rPr>
                      <w:spacing w:val="-3"/>
                      <w:sz w:val="28"/>
                      <w:szCs w:val="28"/>
                      <w:lang w:eastAsia="ru-RU"/>
                    </w:rPr>
                    <w:t>БИК 016015102</w:t>
                  </w:r>
                </w:p>
                <w:p w14:paraId="450225E9">
                  <w:pPr>
                    <w:suppressAutoHyphens w:val="0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ОТДЕЛЕНИЕ РОСТОВ-НА-ДОНУ БАНКА РОССИИ//УФК по Ростовской области г. Ростов-на-Дону</w:t>
                  </w:r>
                </w:p>
                <w:p w14:paraId="6D05785C">
                  <w:pPr>
                    <w:suppressAutoHyphens w:val="0"/>
                    <w:rPr>
                      <w:spacing w:val="-3"/>
                      <w:sz w:val="28"/>
                      <w:szCs w:val="28"/>
                      <w:lang w:eastAsia="ru-RU"/>
                    </w:rPr>
                  </w:pPr>
                  <w:r>
                    <w:rPr>
                      <w:spacing w:val="-3"/>
                      <w:sz w:val="28"/>
                      <w:szCs w:val="28"/>
                      <w:lang w:eastAsia="ru-RU"/>
                    </w:rPr>
                    <w:t>ОГРН 1056142025906</w:t>
                  </w:r>
                </w:p>
                <w:p w14:paraId="204453D7">
                  <w:pPr>
                    <w:suppressAutoHyphens w:val="0"/>
                    <w:rPr>
                      <w:spacing w:val="-3"/>
                      <w:sz w:val="28"/>
                      <w:szCs w:val="28"/>
                      <w:lang w:eastAsia="ru-RU"/>
                    </w:rPr>
                  </w:pPr>
                  <w:r>
                    <w:rPr>
                      <w:spacing w:val="-3"/>
                      <w:sz w:val="28"/>
                      <w:szCs w:val="28"/>
                      <w:lang w:eastAsia="ru-RU"/>
                    </w:rPr>
                    <w:t>ОКТМО  60606102</w:t>
                  </w:r>
                </w:p>
                <w:p w14:paraId="4133DE06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3"/>
                      <w:sz w:val="28"/>
                      <w:szCs w:val="28"/>
                    </w:rPr>
                    <w:t>Тел.8(86383)54491</w:t>
                  </w:r>
                </w:p>
                <w:p w14:paraId="79651DB0">
                  <w:pPr>
                    <w:rPr>
                      <w:sz w:val="28"/>
                      <w:szCs w:val="28"/>
                    </w:rPr>
                  </w:pPr>
                </w:p>
                <w:p w14:paraId="6667189C">
                  <w:pPr>
                    <w:rPr>
                      <w:sz w:val="28"/>
                      <w:szCs w:val="28"/>
                    </w:rPr>
                  </w:pPr>
                </w:p>
                <w:p w14:paraId="5ABD92D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40EBEDB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Шолоховского городского поселения </w:t>
                  </w:r>
                </w:p>
                <w:p w14:paraId="293DD5AC">
                  <w:pPr>
                    <w:rPr>
                      <w:sz w:val="28"/>
                      <w:szCs w:val="28"/>
                    </w:rPr>
                  </w:pPr>
                </w:p>
                <w:p w14:paraId="13C9D7F9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09F36F38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О.П. Снисаренко</w:t>
                  </w:r>
                </w:p>
                <w:p w14:paraId="399F696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8B25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  <w:noWrap w:val="0"/>
            <w:vAlign w:val="top"/>
          </w:tcPr>
          <w:tbl>
            <w:tblPr>
              <w:tblStyle w:val="9"/>
              <w:tblW w:w="0" w:type="auto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69"/>
            </w:tblGrid>
            <w:tr w14:paraId="393B66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0AA2F4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14:paraId="54C791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45D54F9F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3BC401E0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0CE80297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14:paraId="7F61760C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2F4C0FDB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14:paraId="68149FD2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14:paraId="7DFDC02E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ИНН 6142005365  КПП 614201001</w:t>
                  </w:r>
                </w:p>
                <w:p w14:paraId="28EC6BA2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14:paraId="427DD2BA">
                  <w:pPr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Казн.сч. 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27F856E4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>
                    <w:rPr>
                      <w:sz w:val="28"/>
                      <w:szCs w:val="28"/>
                    </w:rPr>
                    <w:t>40102810845370000050</w:t>
                  </w:r>
                </w:p>
                <w:p w14:paraId="3146BD87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14:paraId="5E084956">
                  <w:pPr>
                    <w:suppressAutoHyphens w:val="0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ОТДЕЛЕНИЕ РОСТОВ-НА-ДОНУ БАНКА РОССИИ//УФК по Ростовской области г. Ростов-на-Дону</w:t>
                  </w:r>
                </w:p>
                <w:p w14:paraId="664053DD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14:paraId="2C84951E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54D9E6E6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14:paraId="3FDAAF3B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90220240014050000150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3D6E52EB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0D24DF6D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740CDECB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559E5711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65C8EA2F">
                  <w:pPr>
                    <w:rPr>
                      <w:sz w:val="28"/>
                      <w:szCs w:val="28"/>
                    </w:rPr>
                  </w:pPr>
                </w:p>
                <w:p w14:paraId="002390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4727CF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______________О.А. Мельникова</w:t>
                  </w:r>
                </w:p>
                <w:p w14:paraId="0D7914D0">
                  <w:pPr>
                    <w:rPr>
                      <w:sz w:val="28"/>
                      <w:szCs w:val="28"/>
                    </w:rPr>
                  </w:pPr>
                </w:p>
                <w:p w14:paraId="197EE75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98BD15E">
            <w:pPr>
              <w:rPr>
                <w:sz w:val="28"/>
                <w:szCs w:val="28"/>
              </w:rPr>
            </w:pPr>
          </w:p>
        </w:tc>
      </w:tr>
    </w:tbl>
    <w:p w14:paraId="32ED61D4">
      <w:pPr>
        <w:tabs>
          <w:tab w:val="left" w:pos="5300"/>
        </w:tabs>
        <w:jc w:val="both"/>
        <w:sectPr>
          <w:pgSz w:w="11906" w:h="16838"/>
          <w:pgMar w:top="426" w:right="707" w:bottom="568" w:left="993" w:header="720" w:footer="720" w:gutter="0"/>
          <w:cols w:space="720" w:num="1"/>
          <w:docGrid w:linePitch="360" w:charSpace="0"/>
        </w:sectPr>
      </w:pPr>
    </w:p>
    <w:p w14:paraId="5AAE5769"/>
    <w:p w14:paraId="5EE185A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43EE8144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соглашению о передаче полномочий </w:t>
      </w:r>
    </w:p>
    <w:p w14:paraId="7EBD593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 декабря 2024 года №3</w:t>
      </w:r>
    </w:p>
    <w:p w14:paraId="0F24995B">
      <w:pPr>
        <w:jc w:val="center"/>
      </w:pPr>
    </w:p>
    <w:p w14:paraId="71FAFE9F">
      <w:pPr>
        <w:jc w:val="center"/>
      </w:pPr>
    </w:p>
    <w:p w14:paraId="51A9BF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14:paraId="40DFDA2C">
      <w:pPr>
        <w:jc w:val="center"/>
        <w:rPr>
          <w:sz w:val="28"/>
          <w:szCs w:val="28"/>
        </w:rPr>
      </w:pPr>
      <w:bookmarkStart w:id="0" w:name="_Hlk57214820"/>
      <w:r>
        <w:rPr>
          <w:sz w:val="28"/>
          <w:szCs w:val="28"/>
        </w:rPr>
        <w:t xml:space="preserve">Администрацией Шолоховского городского поселения Администрации Белокалитвинского района </w:t>
      </w:r>
      <w:bookmarkEnd w:id="0"/>
    </w:p>
    <w:p w14:paraId="4B5700E7">
      <w:pPr>
        <w:ind w:firstLine="567"/>
        <w:jc w:val="center"/>
        <w:rPr>
          <w:sz w:val="20"/>
          <w:szCs w:val="20"/>
        </w:rPr>
      </w:pPr>
      <w:r>
        <w:rPr>
          <w:sz w:val="28"/>
          <w:szCs w:val="28"/>
        </w:rPr>
        <w:t>по осуществлению муниципального жилищного контроля на 2025 год и на плановый период 2026 и 2027 годов</w:t>
      </w:r>
    </w:p>
    <w:p w14:paraId="7A3556E1">
      <w:pPr>
        <w:jc w:val="center"/>
        <w:rPr>
          <w:sz w:val="28"/>
          <w:szCs w:val="28"/>
        </w:rPr>
      </w:pPr>
    </w:p>
    <w:p w14:paraId="42FD97F0">
      <w:pPr>
        <w:jc w:val="center"/>
        <w:rPr>
          <w:sz w:val="28"/>
          <w:szCs w:val="28"/>
        </w:rPr>
      </w:pPr>
    </w:p>
    <w:tbl>
      <w:tblPr>
        <w:tblStyle w:val="9"/>
        <w:tblpPr w:leftFromText="180" w:rightFromText="180" w:vertAnchor="text" w:horzAnchor="margin" w:tblpXSpec="center" w:tblpY="83"/>
        <w:tblW w:w="151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14:paraId="1805C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0" w:hRule="atLeast"/>
        </w:trPr>
        <w:tc>
          <w:tcPr>
            <w:tcW w:w="2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8EF7B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0FA8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  <w:lang w:eastAsia="ru-RU"/>
              </w:rPr>
              <w:t>на 01.01.2024 г., тыс.чел. (по данным Ростовстата на 01.01.2024)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C6F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23CAB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1 единицы ведущего специалиста по переданным полномочиям по осуществлению муниципального жилищного контроля, в тыс. руб.</w:t>
            </w:r>
          </w:p>
        </w:tc>
      </w:tr>
      <w:tr w14:paraId="3799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169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679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9DBF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DE39B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14:paraId="066D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E9A4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C9C0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1161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04FF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410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14:paraId="6F02B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FF20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5972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6B3BA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57CD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92BB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4E32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ADE7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Комп. выплаты и пособия, ст.266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BE41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Мат. затраты, всего</w:t>
            </w:r>
          </w:p>
        </w:tc>
      </w:tr>
      <w:tr w14:paraId="7A2A8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0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180CD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530CD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2F18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C25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B3A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73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00BA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6E6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14:paraId="626A5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E5BC09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Шолоховское городское поселение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BDCC9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5FA2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506E8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8D565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1615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48E20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B6991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14:paraId="7636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6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458FBD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2025 год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1C92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BF82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0.1529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4FF2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132,3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DDA3A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93,4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2367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28,4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E30B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8,7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B0CF7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1,8</w:t>
            </w:r>
          </w:p>
        </w:tc>
      </w:tr>
      <w:tr w14:paraId="3BBB3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51DD8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DF7D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6486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0.1529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2A69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132,3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202C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93,4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2485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28,4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96FB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8,7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DF95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1,8</w:t>
            </w:r>
          </w:p>
        </w:tc>
      </w:tr>
      <w:tr w14:paraId="3F9D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7AFE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602A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DB92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0.1529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A193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132,3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7183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93,4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F2B7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28,4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833A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8,7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FE45F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1,8</w:t>
            </w:r>
          </w:p>
        </w:tc>
      </w:tr>
      <w:tr w14:paraId="5A5C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9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3B0DDB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02CB9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F63C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2247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396,9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725F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280,2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44C2A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85,2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AA59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26,1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98BA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5,4</w:t>
            </w:r>
          </w:p>
        </w:tc>
      </w:tr>
    </w:tbl>
    <w:p w14:paraId="20620D88">
      <w:pPr>
        <w:tabs>
          <w:tab w:val="left" w:pos="7340"/>
        </w:tabs>
        <w:ind w:left="426"/>
        <w:jc w:val="right"/>
      </w:pPr>
    </w:p>
    <w:p w14:paraId="4B6AE470">
      <w:pPr>
        <w:rPr>
          <w:sz w:val="28"/>
          <w:szCs w:val="28"/>
        </w:rPr>
      </w:pPr>
      <w:bookmarkStart w:id="1" w:name="_Hlk184825001"/>
      <w:r>
        <w:t xml:space="preserve">                </w:t>
      </w:r>
      <w:r>
        <w:rPr>
          <w:sz w:val="28"/>
          <w:szCs w:val="28"/>
        </w:rPr>
        <w:t>Глава  Администрации                                                                                                      Глава Администрации</w:t>
      </w:r>
    </w:p>
    <w:p w14:paraId="4B0CDF79">
      <w:pPr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Шолоховского городского поселения </w:t>
      </w:r>
      <w:r>
        <w:t xml:space="preserve">                                                                                                     </w:t>
      </w:r>
      <w:r>
        <w:rPr>
          <w:spacing w:val="-1"/>
          <w:sz w:val="28"/>
          <w:szCs w:val="28"/>
        </w:rPr>
        <w:t xml:space="preserve">  Белокалитвинского района</w:t>
      </w:r>
    </w:p>
    <w:p w14:paraId="59B19B92">
      <w:pPr>
        <w:rPr>
          <w:spacing w:val="-1"/>
          <w:sz w:val="28"/>
          <w:szCs w:val="28"/>
        </w:rPr>
      </w:pPr>
    </w:p>
    <w:p w14:paraId="289260BC">
      <w:pPr>
        <w:rPr>
          <w:spacing w:val="-1"/>
          <w:sz w:val="28"/>
          <w:szCs w:val="28"/>
        </w:rPr>
      </w:pPr>
    </w:p>
    <w:p w14:paraId="470EC5C8">
      <w:r>
        <w:rPr>
          <w:spacing w:val="-1"/>
          <w:sz w:val="28"/>
          <w:szCs w:val="28"/>
        </w:rPr>
        <w:t xml:space="preserve">           _____________________ О.П. Снисаренко                                                             ____________________  О.А. Мельникова</w:t>
      </w:r>
    </w:p>
    <w:p w14:paraId="11A55EDC"/>
    <w:bookmarkEnd w:id="1"/>
    <w:p w14:paraId="10935DD4">
      <w:pPr>
        <w:sectPr>
          <w:pgSz w:w="16838" w:h="11906" w:orient="landscape"/>
          <w:pgMar w:top="567" w:right="851" w:bottom="1134" w:left="709" w:header="720" w:footer="720" w:gutter="0"/>
          <w:cols w:space="720" w:num="1"/>
          <w:docGrid w:linePitch="360" w:charSpace="0"/>
        </w:sectPr>
      </w:pPr>
    </w:p>
    <w:p w14:paraId="7B754B2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14:paraId="558F89D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соглашению о передаче полномочий </w:t>
      </w:r>
    </w:p>
    <w:p w14:paraId="16DC29B4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18 декабря 2024 года №3</w:t>
      </w:r>
    </w:p>
    <w:p w14:paraId="743975F5">
      <w:pPr>
        <w:tabs>
          <w:tab w:val="left" w:pos="7340"/>
        </w:tabs>
        <w:jc w:val="center"/>
      </w:pPr>
    </w:p>
    <w:p w14:paraId="7628E858">
      <w:pPr>
        <w:tabs>
          <w:tab w:val="left" w:pos="7340"/>
        </w:tabs>
        <w:jc w:val="center"/>
      </w:pPr>
    </w:p>
    <w:p w14:paraId="658C6EE7">
      <w:pPr>
        <w:ind w:firstLine="567"/>
        <w:jc w:val="center"/>
        <w:rPr>
          <w:sz w:val="20"/>
          <w:szCs w:val="20"/>
        </w:rPr>
      </w:pPr>
      <w:r>
        <w:rPr>
          <w:sz w:val="28"/>
          <w:szCs w:val="28"/>
        </w:rPr>
        <w:t>График перечисления межбюджетных трансфертов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на финансирование расходов, связанных с передачей Администрацией Шолоховского городского поселения Администрации Белокалитвинского района по осуществлению муниципального жилищного контроля на 20245год и на плановый период 2026 и 2027 годов</w:t>
      </w:r>
    </w:p>
    <w:p w14:paraId="437F18CB">
      <w:pPr>
        <w:tabs>
          <w:tab w:val="left" w:pos="7340"/>
        </w:tabs>
        <w:jc w:val="center"/>
      </w:pPr>
    </w:p>
    <w:tbl>
      <w:tblPr>
        <w:tblStyle w:val="9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50"/>
        <w:gridCol w:w="1851"/>
        <w:gridCol w:w="1487"/>
        <w:gridCol w:w="1276"/>
        <w:gridCol w:w="1276"/>
      </w:tblGrid>
      <w:tr w14:paraId="3FE0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vMerge w:val="restart"/>
            <w:noWrap w:val="0"/>
            <w:vAlign w:val="top"/>
          </w:tcPr>
          <w:p w14:paraId="3508392D">
            <w:pPr>
              <w:tabs>
                <w:tab w:val="left" w:pos="7340"/>
              </w:tabs>
              <w:jc w:val="center"/>
            </w:pPr>
          </w:p>
          <w:p w14:paraId="4C963681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550" w:type="dxa"/>
            <w:vMerge w:val="restart"/>
            <w:noWrap w:val="0"/>
            <w:vAlign w:val="top"/>
          </w:tcPr>
          <w:p w14:paraId="17832C09">
            <w:pPr>
              <w:tabs>
                <w:tab w:val="left" w:pos="7340"/>
              </w:tabs>
              <w:jc w:val="center"/>
            </w:pPr>
          </w:p>
          <w:p w14:paraId="470E7E3F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851" w:type="dxa"/>
            <w:vMerge w:val="restart"/>
            <w:noWrap w:val="0"/>
            <w:vAlign w:val="top"/>
          </w:tcPr>
          <w:p w14:paraId="6B8804CF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</w:tc>
        <w:tc>
          <w:tcPr>
            <w:tcW w:w="4039" w:type="dxa"/>
            <w:gridSpan w:val="3"/>
            <w:noWrap w:val="0"/>
            <w:vAlign w:val="top"/>
          </w:tcPr>
          <w:p w14:paraId="399FFA13">
            <w:pPr>
              <w:tabs>
                <w:tab w:val="left" w:pos="7340"/>
              </w:tabs>
              <w:jc w:val="center"/>
            </w:pPr>
          </w:p>
          <w:p w14:paraId="6A9AD02C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1A01E94C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14:paraId="2353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vMerge w:val="continue"/>
            <w:noWrap w:val="0"/>
            <w:vAlign w:val="top"/>
          </w:tcPr>
          <w:p w14:paraId="28411C70">
            <w:pPr>
              <w:tabs>
                <w:tab w:val="left" w:pos="7340"/>
              </w:tabs>
              <w:jc w:val="center"/>
            </w:pPr>
          </w:p>
        </w:tc>
        <w:tc>
          <w:tcPr>
            <w:tcW w:w="1550" w:type="dxa"/>
            <w:vMerge w:val="continue"/>
            <w:noWrap w:val="0"/>
            <w:vAlign w:val="top"/>
          </w:tcPr>
          <w:p w14:paraId="3EC16839">
            <w:pPr>
              <w:tabs>
                <w:tab w:val="left" w:pos="7340"/>
              </w:tabs>
              <w:jc w:val="center"/>
            </w:pPr>
          </w:p>
        </w:tc>
        <w:tc>
          <w:tcPr>
            <w:tcW w:w="1851" w:type="dxa"/>
            <w:vMerge w:val="continue"/>
            <w:noWrap w:val="0"/>
            <w:vAlign w:val="top"/>
          </w:tcPr>
          <w:p w14:paraId="7E56AFE1">
            <w:pPr>
              <w:tabs>
                <w:tab w:val="left" w:pos="7340"/>
              </w:tabs>
              <w:jc w:val="center"/>
            </w:pPr>
          </w:p>
        </w:tc>
        <w:tc>
          <w:tcPr>
            <w:tcW w:w="1487" w:type="dxa"/>
            <w:noWrap w:val="0"/>
            <w:vAlign w:val="top"/>
          </w:tcPr>
          <w:p w14:paraId="4EA6C633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276" w:type="dxa"/>
            <w:noWrap w:val="0"/>
            <w:vAlign w:val="top"/>
          </w:tcPr>
          <w:p w14:paraId="79E99A64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1276" w:type="dxa"/>
            <w:noWrap w:val="0"/>
            <w:vAlign w:val="top"/>
          </w:tcPr>
          <w:p w14:paraId="3F460F7A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14:paraId="0F2B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noWrap w:val="0"/>
            <w:vAlign w:val="top"/>
          </w:tcPr>
          <w:p w14:paraId="4422EBD7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550" w:type="dxa"/>
            <w:noWrap w:val="0"/>
            <w:vAlign w:val="top"/>
          </w:tcPr>
          <w:p w14:paraId="324A0363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851" w:type="dxa"/>
            <w:noWrap w:val="0"/>
            <w:vAlign w:val="top"/>
          </w:tcPr>
          <w:p w14:paraId="0C23A955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2EFF6EA3">
            <w:pPr>
              <w:tabs>
                <w:tab w:val="left" w:pos="7340"/>
              </w:tabs>
              <w:jc w:val="center"/>
            </w:pPr>
            <w:r>
              <w:t>11,3</w:t>
            </w:r>
          </w:p>
        </w:tc>
        <w:tc>
          <w:tcPr>
            <w:tcW w:w="1276" w:type="dxa"/>
            <w:noWrap w:val="0"/>
            <w:vAlign w:val="top"/>
          </w:tcPr>
          <w:p w14:paraId="3A143D75">
            <w:pPr>
              <w:tabs>
                <w:tab w:val="left" w:pos="7340"/>
              </w:tabs>
              <w:jc w:val="center"/>
            </w:pPr>
            <w:r>
              <w:t>11,3</w:t>
            </w:r>
          </w:p>
        </w:tc>
        <w:tc>
          <w:tcPr>
            <w:tcW w:w="1276" w:type="dxa"/>
            <w:noWrap w:val="0"/>
            <w:vAlign w:val="top"/>
          </w:tcPr>
          <w:p w14:paraId="7B273D47">
            <w:pPr>
              <w:tabs>
                <w:tab w:val="left" w:pos="7340"/>
              </w:tabs>
              <w:jc w:val="center"/>
            </w:pPr>
            <w:r>
              <w:t>11,3</w:t>
            </w:r>
          </w:p>
        </w:tc>
      </w:tr>
      <w:tr w14:paraId="4B5F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noWrap w:val="0"/>
            <w:vAlign w:val="top"/>
          </w:tcPr>
          <w:p w14:paraId="53DF2A16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550" w:type="dxa"/>
            <w:noWrap w:val="0"/>
            <w:vAlign w:val="top"/>
          </w:tcPr>
          <w:p w14:paraId="12A8FD95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851" w:type="dxa"/>
            <w:noWrap w:val="0"/>
            <w:vAlign w:val="top"/>
          </w:tcPr>
          <w:p w14:paraId="7FE2DD3D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2143F40F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02CA54F6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29B68C00">
            <w:pPr>
              <w:jc w:val="center"/>
            </w:pPr>
            <w:r>
              <w:t>11,0</w:t>
            </w:r>
          </w:p>
        </w:tc>
      </w:tr>
      <w:tr w14:paraId="3523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noWrap w:val="0"/>
            <w:vAlign w:val="top"/>
          </w:tcPr>
          <w:p w14:paraId="59574276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550" w:type="dxa"/>
            <w:noWrap w:val="0"/>
            <w:vAlign w:val="top"/>
          </w:tcPr>
          <w:p w14:paraId="51DEC684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851" w:type="dxa"/>
            <w:noWrap w:val="0"/>
            <w:vAlign w:val="top"/>
          </w:tcPr>
          <w:p w14:paraId="4EFDA016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6409AB74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134F279D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2C5EB8BD">
            <w:pPr>
              <w:jc w:val="center"/>
            </w:pPr>
            <w:r>
              <w:t>11,0</w:t>
            </w:r>
          </w:p>
        </w:tc>
      </w:tr>
      <w:tr w14:paraId="679B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noWrap w:val="0"/>
            <w:vAlign w:val="top"/>
          </w:tcPr>
          <w:p w14:paraId="5D8A70F7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550" w:type="dxa"/>
            <w:noWrap w:val="0"/>
            <w:vAlign w:val="top"/>
          </w:tcPr>
          <w:p w14:paraId="0B570045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851" w:type="dxa"/>
            <w:noWrap w:val="0"/>
            <w:vAlign w:val="top"/>
          </w:tcPr>
          <w:p w14:paraId="0E0642D9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2FAC170B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5EB6AE13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014E97E9">
            <w:pPr>
              <w:jc w:val="center"/>
            </w:pPr>
            <w:r>
              <w:t>11,0</w:t>
            </w:r>
          </w:p>
        </w:tc>
      </w:tr>
      <w:tr w14:paraId="1AFB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noWrap w:val="0"/>
            <w:vAlign w:val="top"/>
          </w:tcPr>
          <w:p w14:paraId="6B3BAAF0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550" w:type="dxa"/>
            <w:noWrap w:val="0"/>
            <w:vAlign w:val="top"/>
          </w:tcPr>
          <w:p w14:paraId="22328363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851" w:type="dxa"/>
            <w:noWrap w:val="0"/>
            <w:vAlign w:val="top"/>
          </w:tcPr>
          <w:p w14:paraId="1F99EBB6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2206403C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4316303D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3B796542">
            <w:pPr>
              <w:jc w:val="center"/>
            </w:pPr>
            <w:r>
              <w:t>11,0</w:t>
            </w:r>
          </w:p>
        </w:tc>
      </w:tr>
      <w:tr w14:paraId="70A7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noWrap w:val="0"/>
            <w:vAlign w:val="top"/>
          </w:tcPr>
          <w:p w14:paraId="23E4507F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550" w:type="dxa"/>
            <w:noWrap w:val="0"/>
            <w:vAlign w:val="top"/>
          </w:tcPr>
          <w:p w14:paraId="6143B12F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851" w:type="dxa"/>
            <w:noWrap w:val="0"/>
            <w:vAlign w:val="top"/>
          </w:tcPr>
          <w:p w14:paraId="272DFF64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5C30EC1A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2D3EDB7F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2B327234">
            <w:pPr>
              <w:jc w:val="center"/>
            </w:pPr>
            <w:r>
              <w:t>11,0</w:t>
            </w:r>
          </w:p>
        </w:tc>
      </w:tr>
      <w:tr w14:paraId="4D65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noWrap w:val="0"/>
            <w:vAlign w:val="top"/>
          </w:tcPr>
          <w:p w14:paraId="31A45652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550" w:type="dxa"/>
            <w:noWrap w:val="0"/>
            <w:vAlign w:val="top"/>
          </w:tcPr>
          <w:p w14:paraId="2E02E8DC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851" w:type="dxa"/>
            <w:noWrap w:val="0"/>
            <w:vAlign w:val="top"/>
          </w:tcPr>
          <w:p w14:paraId="216A47A5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1DAA23B1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60D4B158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444514E1">
            <w:pPr>
              <w:jc w:val="center"/>
            </w:pPr>
            <w:r>
              <w:t>11,0</w:t>
            </w:r>
          </w:p>
        </w:tc>
      </w:tr>
      <w:tr w14:paraId="4FD2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noWrap w:val="0"/>
            <w:vAlign w:val="top"/>
          </w:tcPr>
          <w:p w14:paraId="4254F4CF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550" w:type="dxa"/>
            <w:noWrap w:val="0"/>
            <w:vAlign w:val="top"/>
          </w:tcPr>
          <w:p w14:paraId="53C002B6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851" w:type="dxa"/>
            <w:noWrap w:val="0"/>
            <w:vAlign w:val="top"/>
          </w:tcPr>
          <w:p w14:paraId="5068E2ED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082559DC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79A289DC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79D2BCE9">
            <w:pPr>
              <w:jc w:val="center"/>
            </w:pPr>
            <w:r>
              <w:t>11,0</w:t>
            </w:r>
          </w:p>
        </w:tc>
      </w:tr>
      <w:tr w14:paraId="764B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noWrap w:val="0"/>
            <w:vAlign w:val="top"/>
          </w:tcPr>
          <w:p w14:paraId="5A2FA1EB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550" w:type="dxa"/>
            <w:noWrap w:val="0"/>
            <w:vAlign w:val="top"/>
          </w:tcPr>
          <w:p w14:paraId="32DB0861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851" w:type="dxa"/>
            <w:noWrap w:val="0"/>
            <w:vAlign w:val="top"/>
          </w:tcPr>
          <w:p w14:paraId="5F3E9D65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32A98C84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0491A482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65939D2A">
            <w:pPr>
              <w:jc w:val="center"/>
            </w:pPr>
            <w:r>
              <w:t>11,0</w:t>
            </w:r>
          </w:p>
        </w:tc>
      </w:tr>
      <w:tr w14:paraId="5856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noWrap w:val="0"/>
            <w:vAlign w:val="top"/>
          </w:tcPr>
          <w:p w14:paraId="71CA26C4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550" w:type="dxa"/>
            <w:noWrap w:val="0"/>
            <w:vAlign w:val="top"/>
          </w:tcPr>
          <w:p w14:paraId="5A789457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851" w:type="dxa"/>
            <w:noWrap w:val="0"/>
            <w:vAlign w:val="top"/>
          </w:tcPr>
          <w:p w14:paraId="429346C1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6153BA2D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0E9BC2CB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68F948D9">
            <w:pPr>
              <w:jc w:val="center"/>
            </w:pPr>
            <w:r>
              <w:t>11,0</w:t>
            </w:r>
          </w:p>
        </w:tc>
      </w:tr>
      <w:tr w14:paraId="2D30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noWrap w:val="0"/>
            <w:vAlign w:val="top"/>
          </w:tcPr>
          <w:p w14:paraId="3354875D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550" w:type="dxa"/>
            <w:noWrap w:val="0"/>
            <w:vAlign w:val="top"/>
          </w:tcPr>
          <w:p w14:paraId="2C95F9B0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851" w:type="dxa"/>
            <w:noWrap w:val="0"/>
            <w:vAlign w:val="top"/>
          </w:tcPr>
          <w:p w14:paraId="7A54C29C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3DD013B5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5A92E943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627A82D3">
            <w:pPr>
              <w:jc w:val="center"/>
            </w:pPr>
            <w:r>
              <w:t>11,0</w:t>
            </w:r>
          </w:p>
        </w:tc>
      </w:tr>
      <w:tr w14:paraId="2FC4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tcBorders>
              <w:bottom w:val="single" w:color="auto" w:sz="4" w:space="0"/>
            </w:tcBorders>
            <w:noWrap w:val="0"/>
            <w:vAlign w:val="top"/>
          </w:tcPr>
          <w:p w14:paraId="13014F6A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550" w:type="dxa"/>
            <w:tcBorders>
              <w:bottom w:val="single" w:color="auto" w:sz="4" w:space="0"/>
            </w:tcBorders>
            <w:noWrap w:val="0"/>
            <w:vAlign w:val="top"/>
          </w:tcPr>
          <w:p w14:paraId="500DABCA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851" w:type="dxa"/>
            <w:tcBorders>
              <w:bottom w:val="single" w:color="auto" w:sz="4" w:space="0"/>
            </w:tcBorders>
            <w:noWrap w:val="0"/>
            <w:vAlign w:val="top"/>
          </w:tcPr>
          <w:p w14:paraId="402B957F">
            <w:pPr>
              <w:jc w:val="center"/>
            </w:pPr>
            <w:r>
              <w:t>до 15 числа</w:t>
            </w:r>
          </w:p>
        </w:tc>
        <w:tc>
          <w:tcPr>
            <w:tcW w:w="1487" w:type="dxa"/>
            <w:noWrap w:val="0"/>
            <w:vAlign w:val="top"/>
          </w:tcPr>
          <w:p w14:paraId="3FEB73D3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09029C62">
            <w:pPr>
              <w:jc w:val="center"/>
            </w:pPr>
            <w:r>
              <w:t>11,0</w:t>
            </w:r>
          </w:p>
        </w:tc>
        <w:tc>
          <w:tcPr>
            <w:tcW w:w="1276" w:type="dxa"/>
            <w:noWrap w:val="0"/>
            <w:vAlign w:val="top"/>
          </w:tcPr>
          <w:p w14:paraId="6BDD0CA1">
            <w:pPr>
              <w:jc w:val="center"/>
            </w:pPr>
            <w:r>
              <w:t>11,0</w:t>
            </w:r>
          </w:p>
        </w:tc>
      </w:tr>
      <w:tr w14:paraId="1303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C315839">
            <w:pPr>
              <w:tabs>
                <w:tab w:val="left" w:pos="7340"/>
              </w:tabs>
              <w:jc w:val="center"/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5012382">
            <w:pPr>
              <w:tabs>
                <w:tab w:val="left" w:pos="7340"/>
              </w:tabs>
              <w:jc w:val="center"/>
            </w:pPr>
          </w:p>
        </w:tc>
        <w:tc>
          <w:tcPr>
            <w:tcW w:w="1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47A55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noWrap w:val="0"/>
            <w:vAlign w:val="top"/>
          </w:tcPr>
          <w:p w14:paraId="786A509A">
            <w:pPr>
              <w:tabs>
                <w:tab w:val="left" w:pos="7340"/>
              </w:tabs>
              <w:jc w:val="center"/>
            </w:pPr>
            <w:r>
              <w:t>132,3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top"/>
          </w:tcPr>
          <w:p w14:paraId="56D6B1FC">
            <w:pPr>
              <w:tabs>
                <w:tab w:val="left" w:pos="7340"/>
              </w:tabs>
              <w:jc w:val="center"/>
            </w:pPr>
            <w:r>
              <w:t>132,3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top"/>
          </w:tcPr>
          <w:p w14:paraId="06D32941">
            <w:pPr>
              <w:tabs>
                <w:tab w:val="left" w:pos="7340"/>
              </w:tabs>
              <w:jc w:val="center"/>
            </w:pPr>
            <w:r>
              <w:t>132,3</w:t>
            </w:r>
          </w:p>
        </w:tc>
      </w:tr>
    </w:tbl>
    <w:p w14:paraId="04A8FFFB">
      <w:pPr>
        <w:tabs>
          <w:tab w:val="left" w:pos="7340"/>
        </w:tabs>
      </w:pPr>
    </w:p>
    <w:p w14:paraId="741DE8B0">
      <w:pPr>
        <w:tabs>
          <w:tab w:val="left" w:pos="7340"/>
        </w:tabs>
      </w:pPr>
    </w:p>
    <w:tbl>
      <w:tblPr>
        <w:tblStyle w:val="9"/>
        <w:tblW w:w="10147" w:type="dxa"/>
        <w:tblInd w:w="1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5152"/>
      </w:tblGrid>
      <w:tr w14:paraId="0E5C6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95" w:type="dxa"/>
            <w:shd w:val="clear" w:color="auto" w:fill="auto"/>
            <w:noWrap w:val="0"/>
            <w:vAlign w:val="top"/>
          </w:tcPr>
          <w:tbl>
            <w:tblPr>
              <w:tblStyle w:val="9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4ECA7BCA">
              <w:trPr>
                <w:wBefore w:w="0" w:type="dxa"/>
                <w:wAfter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3F3652E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14:paraId="125059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1A76EEEB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004C36B2">
                  <w:pPr>
                    <w:rPr>
                      <w:sz w:val="28"/>
                      <w:szCs w:val="28"/>
                    </w:rPr>
                  </w:pPr>
                </w:p>
                <w:p w14:paraId="1C8448F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Глава Администрации  Шолоховского городского поселения </w:t>
                  </w:r>
                </w:p>
                <w:p w14:paraId="191367F0">
                  <w:pPr>
                    <w:rPr>
                      <w:sz w:val="28"/>
                      <w:szCs w:val="28"/>
                    </w:rPr>
                  </w:pPr>
                </w:p>
                <w:p w14:paraId="2498F352">
                  <w:pPr>
                    <w:rPr>
                      <w:sz w:val="28"/>
                      <w:szCs w:val="28"/>
                    </w:rPr>
                  </w:pPr>
                </w:p>
                <w:p w14:paraId="732BE62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_________________О.П. Снисаренко</w:t>
                  </w:r>
                </w:p>
                <w:p w14:paraId="029CA7D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8B5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  <w:noWrap w:val="0"/>
            <w:vAlign w:val="top"/>
          </w:tcPr>
          <w:tbl>
            <w:tblPr>
              <w:tblStyle w:val="9"/>
              <w:tblW w:w="0" w:type="auto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69"/>
            </w:tblGrid>
            <w:tr w14:paraId="431DBD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269640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14:paraId="6F140D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21CF23E1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256ED0FD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3370DD41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 Администрации  Белокалитвинского района</w:t>
                  </w:r>
                </w:p>
                <w:p w14:paraId="69FACA44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3C80B4B4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0FB0351B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7DC35202">
            <w:pPr>
              <w:rPr>
                <w:sz w:val="28"/>
                <w:szCs w:val="28"/>
              </w:rPr>
            </w:pPr>
          </w:p>
        </w:tc>
      </w:tr>
    </w:tbl>
    <w:p w14:paraId="3B1719FB">
      <w:pPr>
        <w:tabs>
          <w:tab w:val="left" w:pos="7340"/>
        </w:tabs>
        <w:rPr>
          <w:sz w:val="28"/>
          <w:szCs w:val="28"/>
        </w:rPr>
      </w:pPr>
    </w:p>
    <w:p w14:paraId="0F5001BA">
      <w:pPr>
        <w:tabs>
          <w:tab w:val="left" w:pos="7340"/>
        </w:tabs>
        <w:rPr>
          <w:sz w:val="28"/>
          <w:szCs w:val="28"/>
        </w:rPr>
      </w:pPr>
    </w:p>
    <w:p w14:paraId="4C1688BE">
      <w:pPr>
        <w:tabs>
          <w:tab w:val="left" w:pos="7340"/>
        </w:tabs>
        <w:rPr>
          <w:sz w:val="28"/>
          <w:szCs w:val="28"/>
        </w:rPr>
      </w:pPr>
    </w:p>
    <w:p w14:paraId="5568A6A7">
      <w:pPr>
        <w:tabs>
          <w:tab w:val="left" w:pos="7340"/>
        </w:tabs>
        <w:rPr>
          <w:sz w:val="28"/>
          <w:szCs w:val="28"/>
        </w:rPr>
      </w:pPr>
    </w:p>
    <w:p w14:paraId="1BB85702">
      <w:pPr>
        <w:tabs>
          <w:tab w:val="left" w:pos="7340"/>
        </w:tabs>
        <w:rPr>
          <w:sz w:val="28"/>
          <w:szCs w:val="28"/>
        </w:rPr>
      </w:pPr>
    </w:p>
    <w:p w14:paraId="59A09677">
      <w:pPr>
        <w:tabs>
          <w:tab w:val="left" w:pos="7340"/>
        </w:tabs>
        <w:rPr>
          <w:sz w:val="28"/>
          <w:szCs w:val="28"/>
        </w:rPr>
      </w:pPr>
    </w:p>
    <w:p w14:paraId="712C1A47">
      <w:pPr>
        <w:tabs>
          <w:tab w:val="left" w:pos="7340"/>
        </w:tabs>
        <w:rPr>
          <w:sz w:val="28"/>
          <w:szCs w:val="28"/>
        </w:rPr>
      </w:pPr>
    </w:p>
    <w:p w14:paraId="30136DF4">
      <w:pPr>
        <w:tabs>
          <w:tab w:val="left" w:pos="7340"/>
        </w:tabs>
        <w:rPr>
          <w:sz w:val="28"/>
          <w:szCs w:val="28"/>
        </w:rPr>
      </w:pPr>
    </w:p>
    <w:p w14:paraId="6057944C">
      <w:pPr>
        <w:suppressAutoHyphens w:val="0"/>
        <w:jc w:val="center"/>
        <w:rPr>
          <w:b/>
          <w:bCs/>
          <w:lang w:eastAsia="ru-RU"/>
        </w:rPr>
        <w:sectPr>
          <w:pgSz w:w="11906" w:h="16838"/>
          <w:pgMar w:top="709" w:right="567" w:bottom="851" w:left="1134" w:header="720" w:footer="720" w:gutter="0"/>
          <w:cols w:space="720" w:num="1"/>
          <w:docGrid w:linePitch="360" w:charSpace="0"/>
        </w:sectPr>
      </w:pPr>
    </w:p>
    <w:tbl>
      <w:tblPr>
        <w:tblStyle w:val="9"/>
        <w:tblW w:w="15593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5"/>
        <w:gridCol w:w="1228"/>
        <w:gridCol w:w="1522"/>
        <w:gridCol w:w="276"/>
        <w:gridCol w:w="1330"/>
        <w:gridCol w:w="276"/>
        <w:gridCol w:w="1073"/>
        <w:gridCol w:w="276"/>
        <w:gridCol w:w="1080"/>
        <w:gridCol w:w="276"/>
        <w:gridCol w:w="3961"/>
      </w:tblGrid>
      <w:tr w14:paraId="48A13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40" w:hRule="atLeast"/>
        </w:trPr>
        <w:tc>
          <w:tcPr>
            <w:tcW w:w="155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98086B1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№3</w:t>
            </w:r>
          </w:p>
          <w:p w14:paraId="647E979A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соглашению о передаче полномочий </w:t>
            </w:r>
          </w:p>
          <w:p w14:paraId="05B19249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декабря 2024 года №3</w:t>
            </w:r>
          </w:p>
          <w:p w14:paraId="1420F04C">
            <w:pPr>
              <w:suppressAutoHyphens w:val="0"/>
              <w:jc w:val="center"/>
              <w:rPr>
                <w:bCs/>
                <w:lang w:eastAsia="ru-RU"/>
              </w:rPr>
            </w:pPr>
          </w:p>
          <w:p w14:paraId="2FC7BE66">
            <w:pPr>
              <w:suppressAutoHyphens w:val="0"/>
              <w:jc w:val="center"/>
              <w:rPr>
                <w:bCs/>
                <w:lang w:eastAsia="ru-RU"/>
              </w:rPr>
            </w:pPr>
          </w:p>
          <w:p w14:paraId="526644B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Отчет по иным межбюджетным трансфертам на финансирование расходов, связанных с передачей полномочий Администрацией Шолоховского городского поселения Администрации Белокалитвинского района по осуществлению муниципального жилищного контроля  за ___ год</w:t>
            </w:r>
          </w:p>
        </w:tc>
      </w:tr>
      <w:tr w14:paraId="1F6F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5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BA823D2">
            <w:pPr>
              <w:suppressAutoHyphens w:val="0"/>
              <w:jc w:val="center"/>
              <w:rPr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i/>
                <w:iCs/>
                <w:color w:val="FFFFFF"/>
                <w:sz w:val="18"/>
                <w:szCs w:val="18"/>
                <w:lang w:eastAsia="ru-RU"/>
              </w:rPr>
              <w:t>(из расчета расходов на денежное содержание соотношении от численности населения)</w:t>
            </w:r>
          </w:p>
        </w:tc>
        <w:tc>
          <w:tcPr>
            <w:tcW w:w="10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4FEC345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тыс. руб.</w:t>
            </w:r>
          </w:p>
        </w:tc>
      </w:tr>
      <w:tr w14:paraId="4C6F1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4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31C8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 полномочия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E26E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 план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2FDB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 факт</w:t>
            </w:r>
          </w:p>
        </w:tc>
        <w:tc>
          <w:tcPr>
            <w:tcW w:w="85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F325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 том числе</w:t>
            </w:r>
          </w:p>
        </w:tc>
      </w:tr>
      <w:tr w14:paraId="2ED86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4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31F2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BC52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2F66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B85C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Годовой ФОТ, ст.211  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F611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Начисл. на ФОТ, ст.213</w:t>
            </w:r>
          </w:p>
        </w:tc>
        <w:tc>
          <w:tcPr>
            <w:tcW w:w="13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671A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Компенс. выплаты и пособия, ст.266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1983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Мат. затраты, всего</w:t>
            </w:r>
          </w:p>
        </w:tc>
      </w:tr>
      <w:tr w14:paraId="22378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5" w:hRule="atLeast"/>
        </w:trPr>
        <w:tc>
          <w:tcPr>
            <w:tcW w:w="4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F7E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273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932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AA5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348B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6F9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A905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14:paraId="29F9A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5" w:hRule="atLeast"/>
        </w:trPr>
        <w:tc>
          <w:tcPr>
            <w:tcW w:w="4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8ADFE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732A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1DF0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32E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6A8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BB93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91325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 </w:t>
            </w:r>
          </w:p>
        </w:tc>
      </w:tr>
      <w:tr w14:paraId="62606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45F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237A9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E738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6CFD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6237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18256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0CBA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14:paraId="0CDA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15" w:hRule="atLeast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F668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Начальник отдела - главный бухгалтер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B7081">
            <w:pPr>
              <w:suppressAutoHyphens w:val="0"/>
              <w:rPr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956B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6544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484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С.М. Левченко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A5B7D">
            <w:pPr>
              <w:suppressAutoHyphens w:val="0"/>
              <w:jc w:val="center"/>
              <w:rPr>
                <w:color w:val="FFFFFF"/>
                <w:sz w:val="28"/>
                <w:szCs w:val="28"/>
                <w:lang w:eastAsia="ru-RU"/>
              </w:rPr>
            </w:pPr>
            <w:r>
              <w:rPr>
                <w:color w:val="FFFFFF"/>
                <w:sz w:val="28"/>
                <w:szCs w:val="28"/>
                <w:lang w:eastAsia="ru-RU"/>
              </w:rPr>
              <w:t>########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5F94A">
            <w:pPr>
              <w:suppressAutoHyphens w:val="0"/>
              <w:jc w:val="center"/>
              <w:rPr>
                <w:color w:val="FFFFFF"/>
                <w:sz w:val="28"/>
                <w:szCs w:val="28"/>
                <w:lang w:eastAsia="ru-RU"/>
              </w:rPr>
            </w:pPr>
            <w:r>
              <w:rPr>
                <w:color w:val="FFFFFF"/>
                <w:sz w:val="28"/>
                <w:szCs w:val="28"/>
                <w:lang w:eastAsia="ru-RU"/>
              </w:rPr>
              <w:t>#ССЫЛКА!</w:t>
            </w:r>
          </w:p>
        </w:tc>
      </w:tr>
      <w:tr w14:paraId="0B3E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CB537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Исполнитель___________    тел.2-69-32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69A1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794B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617C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A16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27F1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FAC2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AF7A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14:paraId="434CEEB2">
      <w:r>
        <w:t xml:space="preserve">              </w:t>
      </w:r>
    </w:p>
    <w:p w14:paraId="3F2F599B"/>
    <w:p w14:paraId="158863B0"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Глава  Администрации                                                                                                                      Глава Администрации</w:t>
      </w:r>
    </w:p>
    <w:p w14:paraId="3B5A1F6C">
      <w:pPr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Шолоховского городского поселения </w:t>
      </w:r>
      <w:r>
        <w:t xml:space="preserve">                                                                                                     </w:t>
      </w:r>
      <w:r>
        <w:rPr>
          <w:spacing w:val="-1"/>
          <w:sz w:val="28"/>
          <w:szCs w:val="28"/>
        </w:rPr>
        <w:t xml:space="preserve">  Белокалитвинского района</w:t>
      </w:r>
    </w:p>
    <w:p w14:paraId="3DC2702D">
      <w:pPr>
        <w:rPr>
          <w:spacing w:val="-1"/>
          <w:sz w:val="28"/>
          <w:szCs w:val="28"/>
        </w:rPr>
      </w:pPr>
    </w:p>
    <w:p w14:paraId="640B743E">
      <w:pPr>
        <w:rPr>
          <w:spacing w:val="-1"/>
          <w:sz w:val="28"/>
          <w:szCs w:val="28"/>
        </w:rPr>
      </w:pPr>
    </w:p>
    <w:p w14:paraId="0BF43BE1">
      <w:r>
        <w:rPr>
          <w:spacing w:val="-1"/>
          <w:sz w:val="28"/>
          <w:szCs w:val="28"/>
        </w:rPr>
        <w:t xml:space="preserve">           _____________________ О.П. Снисаренко                                                             ____________________  О.А. Мельникова</w:t>
      </w:r>
    </w:p>
    <w:p w14:paraId="15DF899C"/>
    <w:p w14:paraId="023F0B4D">
      <w:pPr>
        <w:tabs>
          <w:tab w:val="left" w:pos="7340"/>
        </w:tabs>
        <w:rPr>
          <w:sz w:val="28"/>
          <w:szCs w:val="28"/>
        </w:rPr>
      </w:pPr>
    </w:p>
    <w:sectPr>
      <w:pgSz w:w="16838" w:h="11906" w:orient="landscape"/>
      <w:pgMar w:top="567" w:right="851" w:bottom="1134" w:left="70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eeSans">
    <w:altName w:val="Times New Roman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23B20DDE"/>
    <w:multiLevelType w:val="multilevel"/>
    <w:tmpl w:val="23B20DDE"/>
    <w:lvl w:ilvl="0" w:tentative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3">
    <w:nsid w:val="41D67423"/>
    <w:multiLevelType w:val="multilevel"/>
    <w:tmpl w:val="41D67423"/>
    <w:lvl w:ilvl="0" w:tentative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4">
    <w:nsid w:val="69292944"/>
    <w:multiLevelType w:val="multilevel"/>
    <w:tmpl w:val="6929294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120"/>
  <w:drawingGridVerticalSpacing w:val="0"/>
  <w:displayHorizontalDrawingGridEvery w:val="0"/>
  <w:displayVertic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4F"/>
    <w:rsid w:val="00001951"/>
    <w:rsid w:val="000067D2"/>
    <w:rsid w:val="000120D7"/>
    <w:rsid w:val="000545C9"/>
    <w:rsid w:val="00072141"/>
    <w:rsid w:val="0009747F"/>
    <w:rsid w:val="000979C0"/>
    <w:rsid w:val="000D13AD"/>
    <w:rsid w:val="000D1E2A"/>
    <w:rsid w:val="000E029E"/>
    <w:rsid w:val="000F3F73"/>
    <w:rsid w:val="000F637D"/>
    <w:rsid w:val="000F7191"/>
    <w:rsid w:val="001009DB"/>
    <w:rsid w:val="001079A3"/>
    <w:rsid w:val="001172BC"/>
    <w:rsid w:val="00127EF4"/>
    <w:rsid w:val="0013085A"/>
    <w:rsid w:val="00130C9F"/>
    <w:rsid w:val="001455CB"/>
    <w:rsid w:val="0014680C"/>
    <w:rsid w:val="001502A3"/>
    <w:rsid w:val="00173004"/>
    <w:rsid w:val="00173C31"/>
    <w:rsid w:val="00174533"/>
    <w:rsid w:val="00176714"/>
    <w:rsid w:val="001768F1"/>
    <w:rsid w:val="0018017A"/>
    <w:rsid w:val="00191E74"/>
    <w:rsid w:val="001C60AD"/>
    <w:rsid w:val="001D5397"/>
    <w:rsid w:val="001E1131"/>
    <w:rsid w:val="001E336D"/>
    <w:rsid w:val="001E3D7D"/>
    <w:rsid w:val="001F210B"/>
    <w:rsid w:val="001F46B9"/>
    <w:rsid w:val="002024DE"/>
    <w:rsid w:val="00205357"/>
    <w:rsid w:val="002228AE"/>
    <w:rsid w:val="002247A7"/>
    <w:rsid w:val="0022523B"/>
    <w:rsid w:val="0023097B"/>
    <w:rsid w:val="00235F18"/>
    <w:rsid w:val="00241B5B"/>
    <w:rsid w:val="00247E20"/>
    <w:rsid w:val="002516B0"/>
    <w:rsid w:val="00252DE6"/>
    <w:rsid w:val="00253A19"/>
    <w:rsid w:val="0026470B"/>
    <w:rsid w:val="0026675F"/>
    <w:rsid w:val="002723C4"/>
    <w:rsid w:val="002826AB"/>
    <w:rsid w:val="00291066"/>
    <w:rsid w:val="00294B91"/>
    <w:rsid w:val="002B6B9E"/>
    <w:rsid w:val="002C0309"/>
    <w:rsid w:val="002C77E6"/>
    <w:rsid w:val="002E3A37"/>
    <w:rsid w:val="002E431F"/>
    <w:rsid w:val="00300F31"/>
    <w:rsid w:val="00311198"/>
    <w:rsid w:val="003136B5"/>
    <w:rsid w:val="003208EB"/>
    <w:rsid w:val="00330BF1"/>
    <w:rsid w:val="00331F19"/>
    <w:rsid w:val="00346365"/>
    <w:rsid w:val="00351744"/>
    <w:rsid w:val="00351A0F"/>
    <w:rsid w:val="0035278E"/>
    <w:rsid w:val="00362DA0"/>
    <w:rsid w:val="00363591"/>
    <w:rsid w:val="00371DD1"/>
    <w:rsid w:val="003819F3"/>
    <w:rsid w:val="00382908"/>
    <w:rsid w:val="0038660F"/>
    <w:rsid w:val="00395B0A"/>
    <w:rsid w:val="003A29C6"/>
    <w:rsid w:val="003A5D3E"/>
    <w:rsid w:val="003B0134"/>
    <w:rsid w:val="003B5FE8"/>
    <w:rsid w:val="003D3B73"/>
    <w:rsid w:val="003E4BE2"/>
    <w:rsid w:val="003F1507"/>
    <w:rsid w:val="00425812"/>
    <w:rsid w:val="00432316"/>
    <w:rsid w:val="00447085"/>
    <w:rsid w:val="00454BDD"/>
    <w:rsid w:val="00466D23"/>
    <w:rsid w:val="004714CF"/>
    <w:rsid w:val="0047352F"/>
    <w:rsid w:val="00477814"/>
    <w:rsid w:val="004806CA"/>
    <w:rsid w:val="00487115"/>
    <w:rsid w:val="00493AEB"/>
    <w:rsid w:val="004A1326"/>
    <w:rsid w:val="004A23F8"/>
    <w:rsid w:val="004A54E0"/>
    <w:rsid w:val="004B6174"/>
    <w:rsid w:val="004C4515"/>
    <w:rsid w:val="004D3A3F"/>
    <w:rsid w:val="004D43F4"/>
    <w:rsid w:val="004D7389"/>
    <w:rsid w:val="004D7F9E"/>
    <w:rsid w:val="004E3A61"/>
    <w:rsid w:val="004E4406"/>
    <w:rsid w:val="004E732F"/>
    <w:rsid w:val="004F1438"/>
    <w:rsid w:val="00504002"/>
    <w:rsid w:val="0050575E"/>
    <w:rsid w:val="005068B6"/>
    <w:rsid w:val="00514A23"/>
    <w:rsid w:val="00525C8B"/>
    <w:rsid w:val="00533ECF"/>
    <w:rsid w:val="0053676D"/>
    <w:rsid w:val="00536B3C"/>
    <w:rsid w:val="00554782"/>
    <w:rsid w:val="0055623F"/>
    <w:rsid w:val="005608A6"/>
    <w:rsid w:val="00563811"/>
    <w:rsid w:val="00564486"/>
    <w:rsid w:val="00566577"/>
    <w:rsid w:val="00570A9A"/>
    <w:rsid w:val="0057472A"/>
    <w:rsid w:val="005756DE"/>
    <w:rsid w:val="00575DC1"/>
    <w:rsid w:val="005867EF"/>
    <w:rsid w:val="00590C95"/>
    <w:rsid w:val="005A048C"/>
    <w:rsid w:val="005B06AA"/>
    <w:rsid w:val="005B3872"/>
    <w:rsid w:val="005C2621"/>
    <w:rsid w:val="005D0283"/>
    <w:rsid w:val="005D3D71"/>
    <w:rsid w:val="005D4C7A"/>
    <w:rsid w:val="005F7E65"/>
    <w:rsid w:val="0060155F"/>
    <w:rsid w:val="006316C3"/>
    <w:rsid w:val="00650B89"/>
    <w:rsid w:val="00661CE6"/>
    <w:rsid w:val="00662121"/>
    <w:rsid w:val="00667560"/>
    <w:rsid w:val="00690977"/>
    <w:rsid w:val="006B329C"/>
    <w:rsid w:val="006C4CEA"/>
    <w:rsid w:val="006D1BB6"/>
    <w:rsid w:val="00701146"/>
    <w:rsid w:val="0070600E"/>
    <w:rsid w:val="007077D5"/>
    <w:rsid w:val="00710889"/>
    <w:rsid w:val="007148AF"/>
    <w:rsid w:val="0072113F"/>
    <w:rsid w:val="00722F38"/>
    <w:rsid w:val="00734FA7"/>
    <w:rsid w:val="00747F10"/>
    <w:rsid w:val="007530ED"/>
    <w:rsid w:val="00756C23"/>
    <w:rsid w:val="007651D0"/>
    <w:rsid w:val="00773006"/>
    <w:rsid w:val="00777288"/>
    <w:rsid w:val="007B1695"/>
    <w:rsid w:val="007B5E15"/>
    <w:rsid w:val="007D383E"/>
    <w:rsid w:val="007D680D"/>
    <w:rsid w:val="007E762A"/>
    <w:rsid w:val="00803A7E"/>
    <w:rsid w:val="0080691B"/>
    <w:rsid w:val="00807C03"/>
    <w:rsid w:val="008101AE"/>
    <w:rsid w:val="00823236"/>
    <w:rsid w:val="00826E68"/>
    <w:rsid w:val="00827CF1"/>
    <w:rsid w:val="0084049F"/>
    <w:rsid w:val="008520A3"/>
    <w:rsid w:val="00853348"/>
    <w:rsid w:val="008574D4"/>
    <w:rsid w:val="00876890"/>
    <w:rsid w:val="00877989"/>
    <w:rsid w:val="00885C53"/>
    <w:rsid w:val="00886DE1"/>
    <w:rsid w:val="00887C61"/>
    <w:rsid w:val="00896354"/>
    <w:rsid w:val="008A5AF2"/>
    <w:rsid w:val="008A709A"/>
    <w:rsid w:val="008B10C4"/>
    <w:rsid w:val="008B26AA"/>
    <w:rsid w:val="008C2EC7"/>
    <w:rsid w:val="008C7D04"/>
    <w:rsid w:val="008F04EE"/>
    <w:rsid w:val="008F2F76"/>
    <w:rsid w:val="00900E51"/>
    <w:rsid w:val="00903102"/>
    <w:rsid w:val="00920658"/>
    <w:rsid w:val="009263B0"/>
    <w:rsid w:val="00931908"/>
    <w:rsid w:val="00937B78"/>
    <w:rsid w:val="00946763"/>
    <w:rsid w:val="009650C3"/>
    <w:rsid w:val="00970B55"/>
    <w:rsid w:val="00972D89"/>
    <w:rsid w:val="00974B3E"/>
    <w:rsid w:val="00976207"/>
    <w:rsid w:val="009920D2"/>
    <w:rsid w:val="00994462"/>
    <w:rsid w:val="00995F16"/>
    <w:rsid w:val="009A0EFF"/>
    <w:rsid w:val="009A26F7"/>
    <w:rsid w:val="009C24B2"/>
    <w:rsid w:val="009C436C"/>
    <w:rsid w:val="00A07F34"/>
    <w:rsid w:val="00A131AB"/>
    <w:rsid w:val="00A33867"/>
    <w:rsid w:val="00A33A9F"/>
    <w:rsid w:val="00A37AE0"/>
    <w:rsid w:val="00A41B28"/>
    <w:rsid w:val="00A41FC9"/>
    <w:rsid w:val="00A4396B"/>
    <w:rsid w:val="00A619C2"/>
    <w:rsid w:val="00A63145"/>
    <w:rsid w:val="00A66CC4"/>
    <w:rsid w:val="00A84B6E"/>
    <w:rsid w:val="00A9436A"/>
    <w:rsid w:val="00A94630"/>
    <w:rsid w:val="00A9697E"/>
    <w:rsid w:val="00AA55D4"/>
    <w:rsid w:val="00AB0351"/>
    <w:rsid w:val="00AD163C"/>
    <w:rsid w:val="00AE1314"/>
    <w:rsid w:val="00AE55C8"/>
    <w:rsid w:val="00AE688B"/>
    <w:rsid w:val="00AF0C14"/>
    <w:rsid w:val="00AF7480"/>
    <w:rsid w:val="00B0210B"/>
    <w:rsid w:val="00B0416B"/>
    <w:rsid w:val="00B071FF"/>
    <w:rsid w:val="00B14EDA"/>
    <w:rsid w:val="00B33F9A"/>
    <w:rsid w:val="00B34388"/>
    <w:rsid w:val="00B36264"/>
    <w:rsid w:val="00B40AD1"/>
    <w:rsid w:val="00B42D0F"/>
    <w:rsid w:val="00B46E09"/>
    <w:rsid w:val="00B51861"/>
    <w:rsid w:val="00B5687E"/>
    <w:rsid w:val="00B70478"/>
    <w:rsid w:val="00B7504C"/>
    <w:rsid w:val="00B93440"/>
    <w:rsid w:val="00BB4D8E"/>
    <w:rsid w:val="00BC2659"/>
    <w:rsid w:val="00BE165B"/>
    <w:rsid w:val="00BE1E3C"/>
    <w:rsid w:val="00BE6B18"/>
    <w:rsid w:val="00BE75D1"/>
    <w:rsid w:val="00BF4727"/>
    <w:rsid w:val="00BF4B51"/>
    <w:rsid w:val="00C03CCB"/>
    <w:rsid w:val="00C11B19"/>
    <w:rsid w:val="00C2591B"/>
    <w:rsid w:val="00C3157D"/>
    <w:rsid w:val="00C4487A"/>
    <w:rsid w:val="00C619B1"/>
    <w:rsid w:val="00C61B05"/>
    <w:rsid w:val="00C71A58"/>
    <w:rsid w:val="00C83A26"/>
    <w:rsid w:val="00C93B72"/>
    <w:rsid w:val="00C93F5C"/>
    <w:rsid w:val="00C97FF2"/>
    <w:rsid w:val="00CC3BDA"/>
    <w:rsid w:val="00CC5E73"/>
    <w:rsid w:val="00CD2988"/>
    <w:rsid w:val="00CE203B"/>
    <w:rsid w:val="00CE7C9E"/>
    <w:rsid w:val="00CF5556"/>
    <w:rsid w:val="00D011A0"/>
    <w:rsid w:val="00D07C9E"/>
    <w:rsid w:val="00D15F3A"/>
    <w:rsid w:val="00D20823"/>
    <w:rsid w:val="00D37233"/>
    <w:rsid w:val="00D43234"/>
    <w:rsid w:val="00D43AA6"/>
    <w:rsid w:val="00D740BF"/>
    <w:rsid w:val="00D7741B"/>
    <w:rsid w:val="00D97D1D"/>
    <w:rsid w:val="00DB24BA"/>
    <w:rsid w:val="00DE1E8F"/>
    <w:rsid w:val="00DF1D19"/>
    <w:rsid w:val="00E06090"/>
    <w:rsid w:val="00E06A36"/>
    <w:rsid w:val="00E24624"/>
    <w:rsid w:val="00E3074F"/>
    <w:rsid w:val="00E317A0"/>
    <w:rsid w:val="00E37425"/>
    <w:rsid w:val="00E426A7"/>
    <w:rsid w:val="00E536D8"/>
    <w:rsid w:val="00E75BC2"/>
    <w:rsid w:val="00E97855"/>
    <w:rsid w:val="00EB2C99"/>
    <w:rsid w:val="00EB39C7"/>
    <w:rsid w:val="00EB6DF0"/>
    <w:rsid w:val="00EC7820"/>
    <w:rsid w:val="00ED0FC9"/>
    <w:rsid w:val="00EE1F95"/>
    <w:rsid w:val="00EE66C9"/>
    <w:rsid w:val="00EE70FC"/>
    <w:rsid w:val="00F22176"/>
    <w:rsid w:val="00F46D68"/>
    <w:rsid w:val="00F810E6"/>
    <w:rsid w:val="00FA0FD5"/>
    <w:rsid w:val="00FC0065"/>
    <w:rsid w:val="00FF729E"/>
    <w:rsid w:val="182A6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0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uppressAutoHyphens/>
    </w:pPr>
    <w:rPr>
      <w:sz w:val="24"/>
      <w:szCs w:val="24"/>
      <w:lang w:val="ru-RU" w:eastAsia="zh-CN" w:bidi="ar-SA"/>
    </w:rPr>
  </w:style>
  <w:style w:type="paragraph" w:styleId="2">
    <w:name w:val="heading 1"/>
    <w:basedOn w:val="3"/>
    <w:next w:val="4"/>
    <w:link w:val="23"/>
    <w:qFormat/>
    <w:uiPriority w:val="0"/>
    <w:pPr>
      <w:numPr>
        <w:ilvl w:val="0"/>
        <w:numId w:val="1"/>
      </w:numPr>
      <w:spacing w:before="240" w:after="120"/>
      <w:outlineLvl w:val="0"/>
    </w:pPr>
    <w:rPr>
      <w:rFonts w:cs="Times New Roman"/>
      <w:b w:val="0"/>
      <w:bCs w:val="0"/>
      <w:sz w:val="36"/>
      <w:szCs w:val="36"/>
    </w:rPr>
  </w:style>
  <w:style w:type="paragraph" w:styleId="5">
    <w:name w:val="heading 2"/>
    <w:basedOn w:val="3"/>
    <w:next w:val="4"/>
    <w:link w:val="24"/>
    <w:qFormat/>
    <w:uiPriority w:val="0"/>
    <w:pPr>
      <w:numPr>
        <w:ilvl w:val="1"/>
        <w:numId w:val="1"/>
      </w:numPr>
      <w:spacing w:before="200" w:after="120"/>
      <w:outlineLvl w:val="1"/>
    </w:pPr>
    <w:rPr>
      <w:rFonts w:cs="Times New Roman"/>
      <w:b w:val="0"/>
      <w:bCs w:val="0"/>
      <w:sz w:val="32"/>
      <w:szCs w:val="32"/>
    </w:rPr>
  </w:style>
  <w:style w:type="paragraph" w:styleId="6">
    <w:name w:val="heading 3"/>
    <w:basedOn w:val="3"/>
    <w:next w:val="4"/>
    <w:link w:val="25"/>
    <w:qFormat/>
    <w:uiPriority w:val="0"/>
    <w:pPr>
      <w:numPr>
        <w:ilvl w:val="2"/>
        <w:numId w:val="1"/>
      </w:numPr>
      <w:spacing w:before="140" w:after="120"/>
      <w:outlineLvl w:val="2"/>
    </w:pPr>
    <w:rPr>
      <w:rFonts w:cs="Times New Roman"/>
      <w:b w:val="0"/>
      <w:bCs w:val="0"/>
    </w:rPr>
  </w:style>
  <w:style w:type="paragraph" w:styleId="7">
    <w:name w:val="heading 5"/>
    <w:basedOn w:val="1"/>
    <w:next w:val="1"/>
    <w:link w:val="26"/>
    <w:qFormat/>
    <w:uiPriority w:val="0"/>
    <w:pPr>
      <w:keepNext/>
      <w:numPr>
        <w:ilvl w:val="4"/>
        <w:numId w:val="2"/>
      </w:numPr>
      <w:ind w:left="0"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Title"/>
    <w:basedOn w:val="1"/>
    <w:next w:val="4"/>
    <w:link w:val="56"/>
    <w:qFormat/>
    <w:uiPriority w:val="0"/>
    <w:pPr>
      <w:jc w:val="center"/>
    </w:pPr>
    <w:rPr>
      <w:rFonts w:cs="Times New Roman"/>
      <w:b/>
      <w:bCs/>
      <w:sz w:val="56"/>
      <w:szCs w:val="56"/>
    </w:rPr>
  </w:style>
  <w:style w:type="paragraph" w:styleId="4">
    <w:name w:val="Body Text"/>
    <w:basedOn w:val="1"/>
    <w:link w:val="22"/>
    <w:uiPriority w:val="0"/>
    <w:pPr>
      <w:spacing w:before="0" w:after="120"/>
    </w:pPr>
  </w:style>
  <w:style w:type="paragraph" w:styleId="10">
    <w:name w:val="Balloon Text"/>
    <w:basedOn w:val="1"/>
    <w:link w:val="61"/>
    <w:qFormat/>
    <w:uiPriority w:val="0"/>
    <w:rPr>
      <w:color w:val="00000A"/>
      <w:sz w:val="20"/>
      <w:szCs w:val="20"/>
    </w:rPr>
  </w:style>
  <w:style w:type="paragraph" w:styleId="11">
    <w:name w:val="Body Text Indent"/>
    <w:basedOn w:val="1"/>
    <w:link w:val="54"/>
    <w:uiPriority w:val="0"/>
    <w:pPr>
      <w:ind w:left="705" w:right="0" w:firstLine="0"/>
      <w:jc w:val="both"/>
    </w:pPr>
    <w:rPr>
      <w:b/>
      <w:bCs/>
      <w:sz w:val="28"/>
      <w:szCs w:val="28"/>
    </w:rPr>
  </w:style>
  <w:style w:type="paragraph" w:styleId="12">
    <w:name w:val="caption"/>
    <w:basedOn w:val="1"/>
    <w:qFormat/>
    <w:uiPriority w:val="0"/>
    <w:pPr>
      <w:jc w:val="center"/>
    </w:pPr>
    <w:rPr>
      <w:sz w:val="28"/>
      <w:szCs w:val="28"/>
    </w:rPr>
  </w:style>
  <w:style w:type="paragraph" w:styleId="13">
    <w:name w:val="footer"/>
    <w:basedOn w:val="1"/>
    <w:link w:val="59"/>
    <w:uiPriority w:val="0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4">
    <w:name w:val="header"/>
    <w:basedOn w:val="1"/>
    <w:link w:val="58"/>
    <w:uiPriority w:val="0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5">
    <w:name w:val="index 1"/>
    <w:basedOn w:val="1"/>
    <w:next w:val="1"/>
    <w:uiPriority w:val="0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16">
    <w:name w:val="index heading"/>
    <w:basedOn w:val="1"/>
    <w:qFormat/>
    <w:uiPriority w:val="0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17">
    <w:name w:val="List"/>
    <w:basedOn w:val="4"/>
    <w:uiPriority w:val="0"/>
    <w:rPr>
      <w:rFonts w:cs="Tahoma"/>
    </w:rPr>
  </w:style>
  <w:style w:type="character" w:styleId="18">
    <w:name w:val="page number"/>
    <w:basedOn w:val="19"/>
    <w:qFormat/>
    <w:uiPriority w:val="0"/>
  </w:style>
  <w:style w:type="character" w:customStyle="1" w:styleId="19">
    <w:name w:val="Основной шрифт абзаца1"/>
    <w:qFormat/>
    <w:uiPriority w:val="0"/>
  </w:style>
  <w:style w:type="paragraph" w:styleId="20">
    <w:name w:val="Subtitle"/>
    <w:basedOn w:val="3"/>
    <w:next w:val="4"/>
    <w:link w:val="57"/>
    <w:qFormat/>
    <w:uiPriority w:val="0"/>
    <w:pPr>
      <w:spacing w:before="60" w:after="120"/>
      <w:jc w:val="center"/>
    </w:pPr>
    <w:rPr>
      <w:rFonts w:cs="Times New Roman"/>
      <w:sz w:val="36"/>
      <w:szCs w:val="36"/>
    </w:rPr>
  </w:style>
  <w:style w:type="table" w:styleId="21">
    <w:name w:val="Table Grid"/>
    <w:basedOn w:val="9"/>
    <w:uiPriority w:val="59"/>
    <w:rPr>
      <w:rFonts w:ascii="Calibri" w:hAnsi="Calibri" w:eastAsia="Calibri" w:cs="Times New Roman"/>
      <w:sz w:val="22"/>
      <w:szCs w:val="22"/>
      <w:lang w:eastAsia="en-US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Основной текст Знак"/>
    <w:link w:val="4"/>
    <w:uiPriority w:val="0"/>
    <w:rPr>
      <w:sz w:val="24"/>
      <w:szCs w:val="24"/>
      <w:lang w:eastAsia="zh-CN"/>
    </w:rPr>
  </w:style>
  <w:style w:type="character" w:customStyle="1" w:styleId="23">
    <w:name w:val="Заголовок 1 Знак"/>
    <w:link w:val="2"/>
    <w:uiPriority w:val="0"/>
    <w:rPr>
      <w:rFonts w:ascii="Arial" w:hAnsi="Arial" w:eastAsia="Lucida Sans Unicode" w:cs="Tahoma"/>
      <w:b/>
      <w:bCs/>
      <w:sz w:val="36"/>
      <w:szCs w:val="36"/>
      <w:lang w:eastAsia="zh-CN"/>
    </w:rPr>
  </w:style>
  <w:style w:type="character" w:customStyle="1" w:styleId="24">
    <w:name w:val="Заголовок 2 Знак"/>
    <w:link w:val="5"/>
    <w:uiPriority w:val="0"/>
    <w:rPr>
      <w:rFonts w:ascii="Arial" w:hAnsi="Arial" w:eastAsia="Lucida Sans Unicode" w:cs="Tahoma"/>
      <w:b/>
      <w:bCs/>
      <w:sz w:val="32"/>
      <w:szCs w:val="32"/>
      <w:lang w:eastAsia="zh-CN"/>
    </w:rPr>
  </w:style>
  <w:style w:type="character" w:customStyle="1" w:styleId="25">
    <w:name w:val="Заголовок 3 Знак"/>
    <w:link w:val="6"/>
    <w:uiPriority w:val="0"/>
    <w:rPr>
      <w:rFonts w:ascii="Arial" w:hAnsi="Arial" w:eastAsia="Lucida Sans Unicode" w:cs="Tahoma"/>
      <w:b/>
      <w:bCs/>
      <w:sz w:val="28"/>
      <w:szCs w:val="28"/>
      <w:lang w:eastAsia="zh-CN"/>
    </w:rPr>
  </w:style>
  <w:style w:type="character" w:customStyle="1" w:styleId="26">
    <w:name w:val="Заголовок 5 Знак"/>
    <w:link w:val="7"/>
    <w:uiPriority w:val="0"/>
    <w:rPr>
      <w:rFonts w:ascii="Arial" w:hAnsi="Arial" w:cs="Arial"/>
      <w:sz w:val="28"/>
      <w:lang w:eastAsia="zh-CN"/>
    </w:rPr>
  </w:style>
  <w:style w:type="character" w:customStyle="1" w:styleId="27">
    <w:name w:val="WW8Num1z0"/>
    <w:uiPriority w:val="0"/>
  </w:style>
  <w:style w:type="character" w:customStyle="1" w:styleId="28">
    <w:name w:val="WW8Num1z1"/>
    <w:uiPriority w:val="0"/>
  </w:style>
  <w:style w:type="character" w:customStyle="1" w:styleId="29">
    <w:name w:val="WW8Num1z2"/>
    <w:uiPriority w:val="0"/>
  </w:style>
  <w:style w:type="character" w:customStyle="1" w:styleId="30">
    <w:name w:val="WW8Num1z3"/>
    <w:uiPriority w:val="0"/>
  </w:style>
  <w:style w:type="character" w:customStyle="1" w:styleId="31">
    <w:name w:val="WW8Num1z4"/>
    <w:uiPriority w:val="0"/>
  </w:style>
  <w:style w:type="character" w:customStyle="1" w:styleId="32">
    <w:name w:val="WW8Num1z5"/>
    <w:uiPriority w:val="0"/>
  </w:style>
  <w:style w:type="character" w:customStyle="1" w:styleId="33">
    <w:name w:val="WW8Num1z6"/>
    <w:uiPriority w:val="0"/>
  </w:style>
  <w:style w:type="character" w:customStyle="1" w:styleId="34">
    <w:name w:val="WW8Num1z7"/>
    <w:uiPriority w:val="0"/>
  </w:style>
  <w:style w:type="character" w:customStyle="1" w:styleId="35">
    <w:name w:val="WW8Num1z8"/>
    <w:uiPriority w:val="0"/>
  </w:style>
  <w:style w:type="character" w:customStyle="1" w:styleId="36">
    <w:name w:val="WW8Num2z0"/>
    <w:uiPriority w:val="0"/>
  </w:style>
  <w:style w:type="character" w:customStyle="1" w:styleId="37">
    <w:name w:val="WW8Num2z1"/>
    <w:uiPriority w:val="0"/>
  </w:style>
  <w:style w:type="character" w:customStyle="1" w:styleId="38">
    <w:name w:val="WW8Num2z2"/>
    <w:uiPriority w:val="0"/>
  </w:style>
  <w:style w:type="character" w:customStyle="1" w:styleId="39">
    <w:name w:val="WW8Num2z3"/>
    <w:uiPriority w:val="0"/>
  </w:style>
  <w:style w:type="character" w:customStyle="1" w:styleId="40">
    <w:name w:val="WW8Num2z4"/>
    <w:uiPriority w:val="0"/>
  </w:style>
  <w:style w:type="character" w:customStyle="1" w:styleId="41">
    <w:name w:val="WW8Num2z5"/>
    <w:uiPriority w:val="0"/>
  </w:style>
  <w:style w:type="character" w:customStyle="1" w:styleId="42">
    <w:name w:val="WW8Num2z6"/>
    <w:uiPriority w:val="0"/>
  </w:style>
  <w:style w:type="character" w:customStyle="1" w:styleId="43">
    <w:name w:val="WW8Num2z7"/>
    <w:uiPriority w:val="0"/>
  </w:style>
  <w:style w:type="character" w:customStyle="1" w:styleId="44">
    <w:name w:val="WW8Num2z8"/>
    <w:uiPriority w:val="0"/>
  </w:style>
  <w:style w:type="character" w:customStyle="1" w:styleId="45">
    <w:name w:val="Основной шрифт абзаца2"/>
    <w:uiPriority w:val="0"/>
  </w:style>
  <w:style w:type="character" w:customStyle="1" w:styleId="46">
    <w:name w:val="Absatz-Standardschriftart"/>
    <w:uiPriority w:val="0"/>
  </w:style>
  <w:style w:type="character" w:customStyle="1" w:styleId="47">
    <w:name w:val="WW-Absatz-Standardschriftart"/>
    <w:uiPriority w:val="0"/>
  </w:style>
  <w:style w:type="character" w:customStyle="1" w:styleId="48">
    <w:name w:val="Символ нумерации"/>
    <w:uiPriority w:val="0"/>
  </w:style>
  <w:style w:type="paragraph" w:customStyle="1" w:styleId="49">
    <w:name w:val="Указатель2"/>
    <w:basedOn w:val="1"/>
    <w:uiPriority w:val="0"/>
    <w:pPr>
      <w:suppressLineNumbers/>
    </w:pPr>
    <w:rPr>
      <w:rFonts w:ascii="Times New Roman" w:hAnsi="Times New Roman" w:cs="FreeSans"/>
    </w:rPr>
  </w:style>
  <w:style w:type="paragraph" w:customStyle="1" w:styleId="50">
    <w:name w:val="Название1"/>
    <w:basedOn w:val="1"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51">
    <w:name w:val="Указатель1"/>
    <w:basedOn w:val="1"/>
    <w:qFormat/>
    <w:uiPriority w:val="0"/>
    <w:pPr>
      <w:suppressLineNumbers/>
    </w:pPr>
    <w:rPr>
      <w:rFonts w:cs="Tahoma"/>
    </w:rPr>
  </w:style>
  <w:style w:type="paragraph" w:customStyle="1" w:styleId="52">
    <w:name w:val="Содержимое таблицы"/>
    <w:basedOn w:val="1"/>
    <w:qFormat/>
    <w:uiPriority w:val="0"/>
    <w:pPr>
      <w:suppressLineNumbers/>
    </w:pPr>
  </w:style>
  <w:style w:type="paragraph" w:customStyle="1" w:styleId="53">
    <w:name w:val="Заголовок таблицы"/>
    <w:basedOn w:val="52"/>
    <w:qFormat/>
    <w:uiPriority w:val="0"/>
    <w:pPr>
      <w:suppressLineNumbers/>
      <w:jc w:val="center"/>
    </w:pPr>
    <w:rPr>
      <w:b/>
      <w:bCs/>
      <w:i/>
      <w:iCs/>
    </w:rPr>
  </w:style>
  <w:style w:type="character" w:customStyle="1" w:styleId="54">
    <w:name w:val="Основной текст с отступом Знак"/>
    <w:link w:val="11"/>
    <w:uiPriority w:val="0"/>
    <w:rPr>
      <w:b/>
      <w:bCs/>
      <w:sz w:val="28"/>
      <w:szCs w:val="28"/>
      <w:lang w:eastAsia="zh-CN"/>
    </w:rPr>
  </w:style>
  <w:style w:type="paragraph" w:customStyle="1" w:styleId="55">
    <w:name w:val="Блочная цитата"/>
    <w:basedOn w:val="1"/>
    <w:uiPriority w:val="0"/>
    <w:pPr>
      <w:spacing w:before="0" w:after="283"/>
      <w:ind w:left="567" w:right="567" w:firstLine="0"/>
    </w:pPr>
  </w:style>
  <w:style w:type="character" w:customStyle="1" w:styleId="56">
    <w:name w:val="Название Знак"/>
    <w:link w:val="3"/>
    <w:uiPriority w:val="0"/>
    <w:rPr>
      <w:rFonts w:ascii="Arial" w:hAnsi="Arial" w:eastAsia="Lucida Sans Unicode" w:cs="Tahoma"/>
      <w:b/>
      <w:bCs/>
      <w:sz w:val="56"/>
      <w:szCs w:val="56"/>
      <w:lang w:eastAsia="zh-CN"/>
    </w:rPr>
  </w:style>
  <w:style w:type="character" w:customStyle="1" w:styleId="57">
    <w:name w:val="Подзаголовок Знак"/>
    <w:link w:val="20"/>
    <w:uiPriority w:val="0"/>
    <w:rPr>
      <w:rFonts w:ascii="Arial" w:hAnsi="Arial" w:eastAsia="Lucida Sans Unicode" w:cs="Tahoma"/>
      <w:sz w:val="36"/>
      <w:szCs w:val="36"/>
      <w:lang w:eastAsia="zh-CN"/>
    </w:rPr>
  </w:style>
  <w:style w:type="character" w:customStyle="1" w:styleId="58">
    <w:name w:val="Верхний колонтитул Знак"/>
    <w:link w:val="14"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59">
    <w:name w:val="Нижний колонтитул Знак"/>
    <w:link w:val="13"/>
    <w:qFormat/>
    <w:uiPriority w:val="0"/>
    <w:rPr>
      <w:rFonts w:ascii="Calibri" w:hAnsi="Calibri"/>
      <w:sz w:val="22"/>
      <w:szCs w:val="22"/>
      <w:lang w:eastAsia="en-US"/>
    </w:rPr>
  </w:style>
  <w:style w:type="paragraph" w:customStyle="1" w:styleId="60">
    <w:name w:val="Body Text 31"/>
    <w:basedOn w:val="1"/>
    <w:uiPriority w:val="0"/>
    <w:pPr>
      <w:widowControl w:val="0"/>
    </w:pPr>
    <w:rPr>
      <w:rFonts w:ascii="Arial" w:hAnsi="Arial" w:cs="Arial"/>
      <w:szCs w:val="20"/>
    </w:rPr>
  </w:style>
  <w:style w:type="character" w:customStyle="1" w:styleId="61">
    <w:name w:val="Текст выноски Знак"/>
    <w:link w:val="10"/>
    <w:uiPriority w:val="0"/>
    <w:rPr>
      <w:color w:val="00000A"/>
    </w:rPr>
  </w:style>
  <w:style w:type="paragraph" w:customStyle="1" w:styleId="62">
    <w:name w:val="Основной текст с отступом 22"/>
    <w:basedOn w:val="1"/>
    <w:qFormat/>
    <w:uiPriority w:val="0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63">
    <w:name w:val="WW8Num3z0"/>
    <w:uiPriority w:val="0"/>
    <w:rPr>
      <w:rFonts w:hint="default"/>
    </w:rPr>
  </w:style>
  <w:style w:type="paragraph" w:customStyle="1" w:styleId="64">
    <w:name w:val="Основной текст с отступом 21"/>
    <w:basedOn w:val="1"/>
    <w:uiPriority w:val="0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65">
    <w:name w:val="Основной текст с отступом 31"/>
    <w:basedOn w:val="1"/>
    <w:uiPriority w:val="0"/>
    <w:pPr>
      <w:ind w:firstLine="720"/>
      <w:jc w:val="both"/>
    </w:pPr>
    <w:rPr>
      <w:sz w:val="28"/>
      <w:szCs w:val="20"/>
    </w:rPr>
  </w:style>
  <w:style w:type="paragraph" w:customStyle="1" w:styleId="66">
    <w:name w:val=" Знак2 Знак Знак Знак"/>
    <w:basedOn w:val="1"/>
    <w:uiPriority w:val="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67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character" w:customStyle="1" w:styleId="68">
    <w:name w:val="Body text (2)_"/>
    <w:link w:val="69"/>
    <w:uiPriority w:val="0"/>
    <w:rPr>
      <w:sz w:val="28"/>
      <w:szCs w:val="28"/>
      <w:shd w:val="clear" w:color="auto" w:fill="FFFFFF"/>
    </w:rPr>
  </w:style>
  <w:style w:type="paragraph" w:customStyle="1" w:styleId="69">
    <w:name w:val="Body text (2)"/>
    <w:basedOn w:val="1"/>
    <w:link w:val="68"/>
    <w:uiPriority w:val="0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2096</Words>
  <Characters>11951</Characters>
  <Lines>99</Lines>
  <Paragraphs>28</Paragraphs>
  <TotalTime>0</TotalTime>
  <ScaleCrop>false</ScaleCrop>
  <LinksUpToDate>false</LinksUpToDate>
  <CharactersWithSpaces>14019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2019-11-27T09:03:00Z</dcterms:created>
  <dc:creator>user</dc:creator>
  <cp:lastModifiedBy>jkh3</cp:lastModifiedBy>
  <cp:lastPrinted>2023-12-21T13:15:00Z</cp:lastPrinted>
  <dcterms:modified xsi:type="dcterms:W3CDTF">2024-12-24T09:13:37Z</dcterms:modified>
  <dc:title>СОГЛАШЕНИЕ О ПЕРЕДАЧИ ПОЛНОМОЧИЙ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191F0BD423574AAA862289D819EC24CE_13</vt:lpwstr>
  </property>
</Properties>
</file>