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4A3331">
        <w:rPr>
          <w:sz w:val="28"/>
        </w:rPr>
        <w:t>22</w:t>
      </w:r>
      <w:r w:rsidR="00C70947">
        <w:rPr>
          <w:sz w:val="28"/>
        </w:rPr>
        <w:t>.</w:t>
      </w:r>
      <w:r w:rsidR="008F3620">
        <w:rPr>
          <w:sz w:val="28"/>
        </w:rPr>
        <w:t>0</w:t>
      </w:r>
      <w:r w:rsidR="00004AED">
        <w:rPr>
          <w:sz w:val="28"/>
        </w:rPr>
        <w:t>6</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4A3331">
        <w:rPr>
          <w:sz w:val="28"/>
        </w:rPr>
        <w:t>881</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CB4C28" w:rsidRPr="00A472AD" w:rsidRDefault="00CB4C28" w:rsidP="0074222E">
      <w:pPr>
        <w:jc w:val="center"/>
        <w:rPr>
          <w:b/>
          <w:kern w:val="2"/>
          <w:sz w:val="28"/>
          <w:szCs w:val="28"/>
        </w:rPr>
      </w:pPr>
      <w:bookmarkStart w:id="2" w:name="_GoBack"/>
      <w:r w:rsidRPr="00A472AD">
        <w:rPr>
          <w:b/>
          <w:kern w:val="2"/>
          <w:sz w:val="28"/>
          <w:szCs w:val="28"/>
        </w:rPr>
        <w:t xml:space="preserve">Об организации осуществления анализа финансового состояния </w:t>
      </w:r>
      <w:proofErr w:type="gramStart"/>
      <w:r w:rsidRPr="00A472AD">
        <w:rPr>
          <w:b/>
          <w:kern w:val="2"/>
          <w:sz w:val="28"/>
          <w:szCs w:val="28"/>
        </w:rPr>
        <w:t xml:space="preserve">принципала </w:t>
      </w:r>
      <w:r w:rsidR="00393FE7">
        <w:rPr>
          <w:b/>
          <w:kern w:val="2"/>
          <w:sz w:val="28"/>
          <w:szCs w:val="28"/>
        </w:rPr>
        <w:t xml:space="preserve"> </w:t>
      </w:r>
      <w:r w:rsidRPr="00A472AD">
        <w:rPr>
          <w:b/>
          <w:kern w:val="2"/>
          <w:sz w:val="28"/>
          <w:szCs w:val="28"/>
        </w:rPr>
        <w:t>и</w:t>
      </w:r>
      <w:proofErr w:type="gramEnd"/>
      <w:r w:rsidRPr="00A472AD">
        <w:rPr>
          <w:b/>
          <w:kern w:val="2"/>
          <w:sz w:val="28"/>
          <w:szCs w:val="28"/>
        </w:rPr>
        <w:t xml:space="preserve"> оценки надежности банковской гарантии, поручительства</w:t>
      </w:r>
    </w:p>
    <w:bookmarkEnd w:id="2"/>
    <w:p w:rsidR="00CB4C28" w:rsidRPr="00A472AD" w:rsidRDefault="00CB4C28" w:rsidP="00CB4C28">
      <w:pPr>
        <w:spacing w:line="276" w:lineRule="auto"/>
        <w:ind w:left="426" w:right="141" w:firstLine="567"/>
        <w:jc w:val="center"/>
        <w:rPr>
          <w:sz w:val="28"/>
          <w:szCs w:val="28"/>
        </w:rPr>
      </w:pPr>
    </w:p>
    <w:p w:rsidR="00CB4C28" w:rsidRPr="00A472AD" w:rsidRDefault="00CB4C28" w:rsidP="0074222E">
      <w:pPr>
        <w:spacing w:line="228" w:lineRule="auto"/>
        <w:ind w:firstLine="709"/>
        <w:jc w:val="both"/>
        <w:rPr>
          <w:b/>
          <w:sz w:val="28"/>
          <w:szCs w:val="28"/>
        </w:rPr>
      </w:pPr>
      <w:r w:rsidRPr="00A472AD">
        <w:rPr>
          <w:kern w:val="2"/>
          <w:sz w:val="28"/>
          <w:szCs w:val="28"/>
        </w:rPr>
        <w:t xml:space="preserve">В соответствии с Бюджетным кодексом Российской Федерации, руководствуясь решением </w:t>
      </w:r>
      <w:r w:rsidRPr="00A472AD">
        <w:rPr>
          <w:sz w:val="28"/>
          <w:szCs w:val="28"/>
        </w:rPr>
        <w:t xml:space="preserve">Собрания депутатов Белокалитвинского района </w:t>
      </w:r>
      <w:r w:rsidRPr="00A472AD">
        <w:rPr>
          <w:sz w:val="28"/>
        </w:rPr>
        <w:t xml:space="preserve">от 30 октября 2008 года № 339 </w:t>
      </w:r>
      <w:r w:rsidRPr="00A472AD">
        <w:rPr>
          <w:sz w:val="28"/>
          <w:szCs w:val="28"/>
        </w:rPr>
        <w:t>«Об утверждении Положения о предоставлении муниципальных гарантий Белокалитвинского района», Администрация Белокалитвинского района</w:t>
      </w:r>
      <w:r w:rsidRPr="00A472AD">
        <w:rPr>
          <w:kern w:val="2"/>
          <w:sz w:val="28"/>
          <w:szCs w:val="28"/>
        </w:rPr>
        <w:t xml:space="preserve">   </w:t>
      </w:r>
      <w:r w:rsidRPr="00A472AD">
        <w:rPr>
          <w:b/>
          <w:spacing w:val="60"/>
          <w:sz w:val="28"/>
          <w:szCs w:val="28"/>
        </w:rPr>
        <w:t>постановляет:</w:t>
      </w:r>
    </w:p>
    <w:p w:rsidR="00CB4C28" w:rsidRPr="00A472AD" w:rsidRDefault="00CB4C28" w:rsidP="0074222E">
      <w:pPr>
        <w:spacing w:line="228" w:lineRule="auto"/>
        <w:ind w:firstLine="709"/>
        <w:jc w:val="both"/>
        <w:rPr>
          <w:sz w:val="28"/>
          <w:szCs w:val="28"/>
        </w:rPr>
      </w:pPr>
    </w:p>
    <w:p w:rsidR="00CB4C28" w:rsidRPr="00A472AD" w:rsidRDefault="00CB4C28" w:rsidP="0074222E">
      <w:pPr>
        <w:autoSpaceDE w:val="0"/>
        <w:autoSpaceDN w:val="0"/>
        <w:adjustRightInd w:val="0"/>
        <w:spacing w:line="228" w:lineRule="auto"/>
        <w:ind w:firstLine="709"/>
        <w:jc w:val="both"/>
        <w:rPr>
          <w:kern w:val="2"/>
          <w:sz w:val="28"/>
          <w:szCs w:val="28"/>
        </w:rPr>
      </w:pPr>
      <w:r w:rsidRPr="00A472AD">
        <w:rPr>
          <w:kern w:val="2"/>
          <w:sz w:val="28"/>
          <w:szCs w:val="28"/>
        </w:rPr>
        <w:t>1. Утвердить Методику осуществления анализа финансового состояния принципала, проверки достаточности, надежности и ликвидности обеспечения, предоставляемого в соответствии с абзацем третьим пункта 1</w:t>
      </w:r>
      <w:r w:rsidRPr="00A472AD">
        <w:rPr>
          <w:kern w:val="2"/>
          <w:sz w:val="28"/>
          <w:szCs w:val="28"/>
          <w:vertAlign w:val="superscript"/>
        </w:rPr>
        <w:t>1</w:t>
      </w:r>
      <w:r w:rsidRPr="00A472AD">
        <w:rPr>
          <w:kern w:val="2"/>
          <w:sz w:val="28"/>
          <w:szCs w:val="28"/>
        </w:rPr>
        <w:t xml:space="preserve"> статьи 115</w:t>
      </w:r>
      <w:r w:rsidRPr="00A472AD">
        <w:rPr>
          <w:kern w:val="2"/>
          <w:sz w:val="28"/>
          <w:szCs w:val="28"/>
          <w:vertAlign w:val="superscript"/>
        </w:rPr>
        <w:t>2</w:t>
      </w:r>
      <w:r w:rsidRPr="00A472AD">
        <w:rPr>
          <w:kern w:val="2"/>
          <w:sz w:val="28"/>
          <w:szCs w:val="28"/>
        </w:rPr>
        <w:t xml:space="preserve"> Бюджетного кодекса Российской Федерации, при предоставлении муниципальной гарантии Белокалитвинского района,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муниципальной гарантии Белокалитвинского района согласно приложению № 1.</w:t>
      </w:r>
    </w:p>
    <w:p w:rsidR="00CB4C28" w:rsidRPr="00A472AD" w:rsidRDefault="00CB4C28" w:rsidP="0074222E">
      <w:pPr>
        <w:spacing w:line="228" w:lineRule="auto"/>
        <w:ind w:firstLine="709"/>
        <w:jc w:val="both"/>
        <w:rPr>
          <w:bCs/>
          <w:kern w:val="2"/>
          <w:sz w:val="28"/>
          <w:szCs w:val="28"/>
        </w:rPr>
      </w:pPr>
      <w:r w:rsidRPr="00A472AD">
        <w:rPr>
          <w:kern w:val="2"/>
          <w:sz w:val="28"/>
          <w:szCs w:val="28"/>
        </w:rPr>
        <w:t>2. Утвердить Методику осуществления о</w:t>
      </w:r>
      <w:r w:rsidRPr="00A472AD">
        <w:rPr>
          <w:bCs/>
          <w:kern w:val="2"/>
          <w:sz w:val="28"/>
          <w:szCs w:val="28"/>
        </w:rPr>
        <w:t>ценки надежности банковской гарантии, поручительства согласно приложению № 2.</w:t>
      </w:r>
    </w:p>
    <w:p w:rsidR="00CB4C28" w:rsidRPr="00A472AD" w:rsidRDefault="00CB4C28" w:rsidP="0074222E">
      <w:pPr>
        <w:suppressAutoHyphens/>
        <w:autoSpaceDE w:val="0"/>
        <w:autoSpaceDN w:val="0"/>
        <w:adjustRightInd w:val="0"/>
        <w:spacing w:line="228" w:lineRule="auto"/>
        <w:ind w:firstLine="709"/>
        <w:jc w:val="both"/>
        <w:rPr>
          <w:kern w:val="2"/>
          <w:sz w:val="28"/>
          <w:szCs w:val="28"/>
        </w:rPr>
      </w:pPr>
      <w:r w:rsidRPr="00A472AD">
        <w:rPr>
          <w:kern w:val="2"/>
          <w:sz w:val="28"/>
          <w:szCs w:val="28"/>
        </w:rPr>
        <w:t>3. Настоящее постановление вступает в силу со дня его официального опубликования.</w:t>
      </w:r>
    </w:p>
    <w:p w:rsidR="00CB4C28" w:rsidRPr="00A472AD" w:rsidRDefault="00CB4C28" w:rsidP="0074222E">
      <w:pPr>
        <w:tabs>
          <w:tab w:val="left" w:pos="1134"/>
        </w:tabs>
        <w:spacing w:line="228" w:lineRule="auto"/>
        <w:ind w:firstLine="709"/>
        <w:jc w:val="both"/>
        <w:rPr>
          <w:sz w:val="28"/>
          <w:szCs w:val="28"/>
        </w:rPr>
      </w:pPr>
      <w:r w:rsidRPr="00A472AD">
        <w:rPr>
          <w:kern w:val="2"/>
          <w:sz w:val="28"/>
          <w:szCs w:val="28"/>
        </w:rPr>
        <w:t>4. </w:t>
      </w:r>
      <w:r w:rsidRPr="00A472AD">
        <w:rPr>
          <w:sz w:val="28"/>
          <w:szCs w:val="28"/>
        </w:rPr>
        <w:t>Контроль за выполнением постановления возложить на</w:t>
      </w:r>
      <w:r w:rsidRPr="00A472AD">
        <w:rPr>
          <w:rFonts w:eastAsia="Calibri"/>
          <w:sz w:val="28"/>
          <w:szCs w:val="28"/>
        </w:rPr>
        <w:t xml:space="preserve"> </w:t>
      </w:r>
      <w:r w:rsidRPr="00A472AD">
        <w:rPr>
          <w:sz w:val="28"/>
          <w:szCs w:val="28"/>
        </w:rPr>
        <w:t xml:space="preserve">первого заместителя главы Администрации Белокалитвинского района по экономическому развитию, инвестиционной политике и местному самоуправлению Устименко Д.Ю. и начальника финансового управления </w:t>
      </w:r>
      <w:proofErr w:type="gramStart"/>
      <w:r w:rsidRPr="00A472AD">
        <w:rPr>
          <w:sz w:val="28"/>
          <w:szCs w:val="28"/>
        </w:rPr>
        <w:t>Администрации  Белокалитвинского</w:t>
      </w:r>
      <w:proofErr w:type="gramEnd"/>
      <w:r w:rsidRPr="00A472AD">
        <w:rPr>
          <w:sz w:val="28"/>
          <w:szCs w:val="28"/>
        </w:rPr>
        <w:t xml:space="preserve"> района  Демиденко В.И.</w:t>
      </w:r>
    </w:p>
    <w:p w:rsidR="00D6716F" w:rsidRDefault="00D6716F" w:rsidP="0074222E">
      <w:pPr>
        <w:spacing w:line="228" w:lineRule="auto"/>
        <w:ind w:firstLine="709"/>
        <w:jc w:val="center"/>
        <w:rPr>
          <w:sz w:val="28"/>
        </w:rPr>
      </w:pPr>
    </w:p>
    <w:p w:rsidR="00D6716F" w:rsidRPr="00D6716F" w:rsidRDefault="00D6716F" w:rsidP="00D6716F">
      <w:pPr>
        <w:jc w:val="center"/>
        <w:rPr>
          <w:sz w:val="28"/>
        </w:rPr>
      </w:pPr>
    </w:p>
    <w:p w:rsidR="00D6716F" w:rsidRDefault="00434945"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434945">
        <w:rPr>
          <w:b w:val="0"/>
        </w:rPr>
        <w:t>О.А. Мельникова</w:t>
      </w:r>
    </w:p>
    <w:p w:rsidR="00872883" w:rsidRDefault="00872883" w:rsidP="00872883">
      <w:pPr>
        <w:rPr>
          <w:sz w:val="28"/>
        </w:rPr>
      </w:pPr>
    </w:p>
    <w:p w:rsidR="00CB4C28" w:rsidRPr="00A472AD" w:rsidRDefault="00CB4C28" w:rsidP="00CB4C28">
      <w:pPr>
        <w:pageBreakBefore/>
        <w:widowControl w:val="0"/>
        <w:autoSpaceDE w:val="0"/>
        <w:autoSpaceDN w:val="0"/>
        <w:ind w:left="6237"/>
        <w:jc w:val="center"/>
        <w:rPr>
          <w:sz w:val="28"/>
          <w:szCs w:val="28"/>
        </w:rPr>
      </w:pPr>
      <w:r w:rsidRPr="00A472AD">
        <w:rPr>
          <w:sz w:val="28"/>
          <w:szCs w:val="28"/>
        </w:rPr>
        <w:lastRenderedPageBreak/>
        <w:t>Приложение №</w:t>
      </w:r>
      <w:r w:rsidR="0074222E">
        <w:rPr>
          <w:sz w:val="28"/>
          <w:szCs w:val="28"/>
        </w:rPr>
        <w:t xml:space="preserve"> </w:t>
      </w:r>
      <w:r w:rsidRPr="00A472AD">
        <w:rPr>
          <w:sz w:val="28"/>
          <w:szCs w:val="28"/>
        </w:rPr>
        <w:t xml:space="preserve">1 </w:t>
      </w:r>
    </w:p>
    <w:p w:rsidR="00CB4C28" w:rsidRPr="00A472AD" w:rsidRDefault="00CB4C28" w:rsidP="00CB4C28">
      <w:pPr>
        <w:widowControl w:val="0"/>
        <w:autoSpaceDE w:val="0"/>
        <w:autoSpaceDN w:val="0"/>
        <w:ind w:left="6237"/>
        <w:jc w:val="center"/>
        <w:rPr>
          <w:sz w:val="28"/>
          <w:szCs w:val="28"/>
        </w:rPr>
      </w:pPr>
      <w:r w:rsidRPr="00A472AD">
        <w:rPr>
          <w:sz w:val="28"/>
          <w:szCs w:val="28"/>
        </w:rPr>
        <w:t>к постановлению</w:t>
      </w:r>
    </w:p>
    <w:p w:rsidR="00CB4C28" w:rsidRPr="00A472AD" w:rsidRDefault="00CB4C28" w:rsidP="00CB4C28">
      <w:pPr>
        <w:widowControl w:val="0"/>
        <w:autoSpaceDE w:val="0"/>
        <w:autoSpaceDN w:val="0"/>
        <w:ind w:left="6237"/>
        <w:jc w:val="center"/>
        <w:rPr>
          <w:sz w:val="28"/>
          <w:szCs w:val="28"/>
        </w:rPr>
      </w:pPr>
      <w:r w:rsidRPr="00A472AD">
        <w:rPr>
          <w:sz w:val="28"/>
          <w:szCs w:val="28"/>
        </w:rPr>
        <w:t>Администрации Белокалитвинского района</w:t>
      </w:r>
    </w:p>
    <w:p w:rsidR="00CB4C28" w:rsidRPr="00A472AD" w:rsidRDefault="00CB4C28" w:rsidP="00CB4C28">
      <w:pPr>
        <w:widowControl w:val="0"/>
        <w:autoSpaceDE w:val="0"/>
        <w:autoSpaceDN w:val="0"/>
        <w:ind w:left="6237"/>
        <w:jc w:val="center"/>
        <w:rPr>
          <w:sz w:val="28"/>
          <w:szCs w:val="28"/>
        </w:rPr>
      </w:pPr>
      <w:r w:rsidRPr="00A472AD">
        <w:rPr>
          <w:sz w:val="28"/>
          <w:szCs w:val="28"/>
        </w:rPr>
        <w:t xml:space="preserve">от </w:t>
      </w:r>
      <w:proofErr w:type="gramStart"/>
      <w:r w:rsidR="004A3331">
        <w:rPr>
          <w:sz w:val="28"/>
          <w:szCs w:val="28"/>
        </w:rPr>
        <w:t>22</w:t>
      </w:r>
      <w:r w:rsidR="0074222E">
        <w:rPr>
          <w:sz w:val="28"/>
          <w:szCs w:val="28"/>
        </w:rPr>
        <w:t>.06.2020</w:t>
      </w:r>
      <w:r w:rsidRPr="00A472AD">
        <w:rPr>
          <w:sz w:val="28"/>
          <w:szCs w:val="28"/>
        </w:rPr>
        <w:t xml:space="preserve"> </w:t>
      </w:r>
      <w:r w:rsidR="004A3331">
        <w:rPr>
          <w:sz w:val="28"/>
          <w:szCs w:val="28"/>
        </w:rPr>
        <w:t xml:space="preserve"> №</w:t>
      </w:r>
      <w:proofErr w:type="gramEnd"/>
      <w:r w:rsidR="004A3331">
        <w:rPr>
          <w:sz w:val="28"/>
          <w:szCs w:val="28"/>
        </w:rPr>
        <w:t xml:space="preserve"> 881</w:t>
      </w:r>
    </w:p>
    <w:p w:rsidR="00CB4C28" w:rsidRPr="00A472AD" w:rsidRDefault="00CB4C28" w:rsidP="00CB4C28">
      <w:pPr>
        <w:widowControl w:val="0"/>
        <w:autoSpaceDE w:val="0"/>
        <w:autoSpaceDN w:val="0"/>
        <w:jc w:val="center"/>
        <w:rPr>
          <w:b/>
          <w:sz w:val="28"/>
          <w:szCs w:val="28"/>
        </w:rPr>
      </w:pPr>
    </w:p>
    <w:p w:rsidR="00CB4C28" w:rsidRPr="00A472AD" w:rsidRDefault="00CB4C28" w:rsidP="00CB4C28">
      <w:pPr>
        <w:jc w:val="center"/>
        <w:rPr>
          <w:kern w:val="2"/>
          <w:sz w:val="28"/>
          <w:szCs w:val="28"/>
        </w:rPr>
      </w:pPr>
      <w:r w:rsidRPr="00A472AD">
        <w:rPr>
          <w:kern w:val="2"/>
          <w:sz w:val="28"/>
          <w:szCs w:val="28"/>
        </w:rPr>
        <w:t>МЕТОДИКА</w:t>
      </w:r>
    </w:p>
    <w:p w:rsidR="00CB4C28" w:rsidRPr="00A472AD" w:rsidRDefault="00CB4C28" w:rsidP="00CB4C28">
      <w:pPr>
        <w:jc w:val="center"/>
        <w:rPr>
          <w:kern w:val="2"/>
          <w:sz w:val="28"/>
          <w:szCs w:val="28"/>
        </w:rPr>
      </w:pPr>
      <w:r w:rsidRPr="00A472AD">
        <w:rPr>
          <w:kern w:val="2"/>
          <w:sz w:val="28"/>
          <w:szCs w:val="28"/>
        </w:rPr>
        <w:t xml:space="preserve">осуществления анализа финансового состояния </w:t>
      </w:r>
    </w:p>
    <w:p w:rsidR="00CB4C28" w:rsidRPr="00A472AD" w:rsidRDefault="00CB4C28" w:rsidP="00CB4C28">
      <w:pPr>
        <w:jc w:val="center"/>
        <w:rPr>
          <w:kern w:val="2"/>
          <w:sz w:val="28"/>
          <w:szCs w:val="28"/>
        </w:rPr>
      </w:pPr>
      <w:r w:rsidRPr="00A472AD">
        <w:rPr>
          <w:kern w:val="2"/>
          <w:sz w:val="28"/>
          <w:szCs w:val="28"/>
        </w:rPr>
        <w:t xml:space="preserve">принципала, проверки достаточности, надежности и ликвидности </w:t>
      </w:r>
    </w:p>
    <w:p w:rsidR="00CB4C28" w:rsidRPr="00A472AD" w:rsidRDefault="00CB4C28" w:rsidP="00CB4C28">
      <w:pPr>
        <w:jc w:val="center"/>
        <w:rPr>
          <w:kern w:val="2"/>
          <w:sz w:val="28"/>
          <w:szCs w:val="28"/>
        </w:rPr>
      </w:pPr>
      <w:r w:rsidRPr="00A472AD">
        <w:rPr>
          <w:kern w:val="2"/>
          <w:sz w:val="28"/>
          <w:szCs w:val="28"/>
        </w:rPr>
        <w:t>обеспечения, предоставляемого в соответствии с абзацем третьим пункта 1</w:t>
      </w:r>
      <w:r w:rsidRPr="00A472AD">
        <w:rPr>
          <w:kern w:val="2"/>
          <w:sz w:val="28"/>
          <w:szCs w:val="28"/>
          <w:vertAlign w:val="superscript"/>
        </w:rPr>
        <w:t>1</w:t>
      </w:r>
      <w:r w:rsidRPr="00A472AD">
        <w:rPr>
          <w:kern w:val="2"/>
          <w:sz w:val="28"/>
          <w:szCs w:val="28"/>
        </w:rPr>
        <w:t xml:space="preserve"> статьи 115</w:t>
      </w:r>
      <w:r w:rsidRPr="00A472AD">
        <w:rPr>
          <w:kern w:val="2"/>
          <w:sz w:val="28"/>
          <w:szCs w:val="28"/>
          <w:vertAlign w:val="superscript"/>
        </w:rPr>
        <w:t>2</w:t>
      </w:r>
      <w:r w:rsidRPr="00A472AD">
        <w:rPr>
          <w:kern w:val="2"/>
          <w:sz w:val="28"/>
          <w:szCs w:val="28"/>
        </w:rPr>
        <w:t xml:space="preserve"> Бюджетного кодекса Российской Федерации, при предоставлении муниципальной гарантии Белокалитвинского района, а также мониторинга финансового состояния принципала, контроля за достаточностью, </w:t>
      </w:r>
    </w:p>
    <w:p w:rsidR="00CB4C28" w:rsidRPr="00A472AD" w:rsidRDefault="00CB4C28" w:rsidP="00CB4C28">
      <w:pPr>
        <w:jc w:val="center"/>
        <w:rPr>
          <w:kern w:val="2"/>
          <w:sz w:val="28"/>
          <w:szCs w:val="28"/>
        </w:rPr>
      </w:pPr>
      <w:r w:rsidRPr="00A472AD">
        <w:rPr>
          <w:kern w:val="2"/>
          <w:sz w:val="28"/>
          <w:szCs w:val="28"/>
        </w:rPr>
        <w:t xml:space="preserve">надежностью и ликвидностью предоставленного обеспечения </w:t>
      </w:r>
    </w:p>
    <w:p w:rsidR="00CB4C28" w:rsidRPr="00A472AD" w:rsidRDefault="00CB4C28" w:rsidP="00CB4C28">
      <w:pPr>
        <w:jc w:val="center"/>
        <w:rPr>
          <w:kern w:val="2"/>
          <w:sz w:val="28"/>
          <w:szCs w:val="28"/>
        </w:rPr>
      </w:pPr>
      <w:r w:rsidRPr="00A472AD">
        <w:rPr>
          <w:kern w:val="2"/>
          <w:sz w:val="28"/>
          <w:szCs w:val="28"/>
        </w:rPr>
        <w:t>после предоставления муниципальной гарантии Белокалитвинского района</w:t>
      </w:r>
    </w:p>
    <w:p w:rsidR="00CB4C28" w:rsidRPr="00A472AD" w:rsidRDefault="00CB4C28" w:rsidP="00CB4C28">
      <w:pPr>
        <w:jc w:val="center"/>
        <w:rPr>
          <w:kern w:val="2"/>
          <w:sz w:val="28"/>
          <w:szCs w:val="28"/>
        </w:rPr>
      </w:pPr>
    </w:p>
    <w:p w:rsidR="00CB4C28" w:rsidRPr="00A472AD" w:rsidRDefault="00CB4C28" w:rsidP="00CB4C28">
      <w:pPr>
        <w:jc w:val="center"/>
        <w:rPr>
          <w:kern w:val="2"/>
          <w:sz w:val="28"/>
          <w:szCs w:val="28"/>
        </w:rPr>
      </w:pPr>
      <w:r w:rsidRPr="00A472AD">
        <w:rPr>
          <w:kern w:val="2"/>
          <w:sz w:val="28"/>
          <w:szCs w:val="28"/>
        </w:rPr>
        <w:t xml:space="preserve">1. Анализ финансового состояния принципала </w:t>
      </w:r>
    </w:p>
    <w:p w:rsidR="00CB4C28" w:rsidRPr="00A472AD" w:rsidRDefault="00CB4C28" w:rsidP="00CB4C28">
      <w:pPr>
        <w:jc w:val="center"/>
        <w:rPr>
          <w:kern w:val="2"/>
          <w:sz w:val="28"/>
          <w:szCs w:val="28"/>
        </w:rPr>
      </w:pPr>
      <w:r w:rsidRPr="00A472AD">
        <w:rPr>
          <w:kern w:val="2"/>
          <w:sz w:val="28"/>
          <w:szCs w:val="28"/>
        </w:rPr>
        <w:t>при предоставлении муниципальной гарантии Белокалитвинского района</w:t>
      </w:r>
    </w:p>
    <w:p w:rsidR="00CB4C28" w:rsidRPr="00A472AD" w:rsidRDefault="00CB4C28" w:rsidP="00CB4C28">
      <w:pPr>
        <w:jc w:val="center"/>
        <w:rPr>
          <w:kern w:val="2"/>
          <w:sz w:val="28"/>
          <w:szCs w:val="28"/>
        </w:rPr>
      </w:pP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1.1. Анализ финансового состояния принципала при предоставлении муниципальной гарантии Белокалитвинского района осуществляется финансовым управлением Администрации Белокалитвинского района на основании полного комплекта документов согласно перечню, устанавливаемому Администрацией Белокалитвинского района, показателей, утвержденных решением Собрания депутатов поселения о бюджете поселения, данных отчетности об исполнении бюджетов поселений.</w:t>
      </w:r>
    </w:p>
    <w:p w:rsidR="00CB4C28" w:rsidRPr="00A472AD" w:rsidRDefault="00CB4C28" w:rsidP="00CB4C28">
      <w:pPr>
        <w:ind w:firstLine="709"/>
        <w:jc w:val="both"/>
        <w:rPr>
          <w:kern w:val="2"/>
          <w:sz w:val="28"/>
          <w:szCs w:val="28"/>
        </w:rPr>
      </w:pPr>
      <w:r w:rsidRPr="00A472AD">
        <w:rPr>
          <w:kern w:val="2"/>
          <w:sz w:val="28"/>
          <w:szCs w:val="28"/>
        </w:rPr>
        <w:t>1.2. Период, за который проводится анализ финансового состояния принципала (далее – анализируемый период), включает в себя:</w:t>
      </w:r>
    </w:p>
    <w:p w:rsidR="00CB4C28" w:rsidRPr="00A472AD" w:rsidRDefault="00CB4C28" w:rsidP="00CB4C28">
      <w:pPr>
        <w:ind w:firstLine="709"/>
        <w:jc w:val="both"/>
        <w:rPr>
          <w:kern w:val="2"/>
          <w:sz w:val="28"/>
          <w:szCs w:val="28"/>
        </w:rPr>
      </w:pPr>
      <w:r w:rsidRPr="00A472AD">
        <w:rPr>
          <w:kern w:val="2"/>
          <w:sz w:val="28"/>
          <w:szCs w:val="28"/>
        </w:rPr>
        <w:t>последний отчетный период текущего года (последний отчетный период);</w:t>
      </w:r>
    </w:p>
    <w:p w:rsidR="00CB4C28" w:rsidRPr="00A472AD" w:rsidRDefault="00CB4C28" w:rsidP="00CB4C28">
      <w:pPr>
        <w:ind w:firstLine="709"/>
        <w:jc w:val="both"/>
        <w:rPr>
          <w:kern w:val="2"/>
          <w:sz w:val="28"/>
          <w:szCs w:val="28"/>
        </w:rPr>
      </w:pPr>
      <w:r w:rsidRPr="00A472AD">
        <w:rPr>
          <w:kern w:val="2"/>
          <w:sz w:val="28"/>
          <w:szCs w:val="28"/>
        </w:rPr>
        <w:t>предыдущий финансовый год (2-й отчетный период);</w:t>
      </w:r>
    </w:p>
    <w:p w:rsidR="00CB4C28" w:rsidRPr="00A472AD" w:rsidRDefault="00CB4C28" w:rsidP="00CB4C28">
      <w:pPr>
        <w:ind w:firstLine="709"/>
        <w:jc w:val="both"/>
        <w:rPr>
          <w:kern w:val="2"/>
          <w:sz w:val="28"/>
          <w:szCs w:val="28"/>
        </w:rPr>
      </w:pPr>
      <w:r w:rsidRPr="00A472AD">
        <w:rPr>
          <w:kern w:val="2"/>
          <w:sz w:val="28"/>
          <w:szCs w:val="28"/>
        </w:rPr>
        <w:t>год, предшествующий предыдущему финансовому году (1-й отчетный период).</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1.3. В случае отсутствия по объективным причинам в бухгалтерской (финансовой) отчетности принципала данных за 1-й и (или) 2-й отчетный период (например, вследствие создания принципала в текущем или предыдущем финансовом году) анализ финансового состояния принципала осуществляется на основании данных 2-го и (или) последнего отчетных периодов соответственно, являющихся в данном случае анализируемыми периодами.</w:t>
      </w:r>
    </w:p>
    <w:p w:rsidR="00CB4C28" w:rsidRPr="00A472AD" w:rsidRDefault="00CB4C28" w:rsidP="00CB4C28">
      <w:pPr>
        <w:ind w:firstLine="709"/>
        <w:jc w:val="both"/>
        <w:rPr>
          <w:kern w:val="2"/>
          <w:sz w:val="28"/>
          <w:szCs w:val="28"/>
        </w:rPr>
      </w:pPr>
      <w:r w:rsidRPr="00A472AD">
        <w:rPr>
          <w:kern w:val="2"/>
          <w:sz w:val="28"/>
          <w:szCs w:val="28"/>
        </w:rPr>
        <w:t>1.4. Анализ финансового состояния принципала при предоставлении муниципальной гарантии Белокалитвинского района осуществляется по категориям принципалов:</w:t>
      </w:r>
    </w:p>
    <w:p w:rsidR="00CB4C28" w:rsidRPr="00A472AD" w:rsidRDefault="00CB4C28" w:rsidP="00CB4C28">
      <w:pPr>
        <w:ind w:firstLine="709"/>
        <w:jc w:val="both"/>
        <w:rPr>
          <w:kern w:val="2"/>
          <w:sz w:val="28"/>
          <w:szCs w:val="28"/>
        </w:rPr>
      </w:pPr>
      <w:r w:rsidRPr="00A472AD">
        <w:rPr>
          <w:kern w:val="2"/>
          <w:sz w:val="28"/>
          <w:szCs w:val="28"/>
        </w:rPr>
        <w:t>муниципальное образование (далее по тексту – поселение);</w:t>
      </w:r>
    </w:p>
    <w:p w:rsidR="00CB4C28" w:rsidRPr="00A472AD" w:rsidRDefault="00CB4C28" w:rsidP="00CB4C28">
      <w:pPr>
        <w:ind w:firstLine="709"/>
        <w:jc w:val="both"/>
        <w:rPr>
          <w:kern w:val="2"/>
          <w:sz w:val="28"/>
          <w:szCs w:val="28"/>
        </w:rPr>
      </w:pPr>
      <w:r w:rsidRPr="00A472AD">
        <w:rPr>
          <w:kern w:val="2"/>
          <w:sz w:val="28"/>
          <w:szCs w:val="28"/>
        </w:rPr>
        <w:t>юридическое лицо.</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lastRenderedPageBreak/>
        <w:t>1.5. Анализ финансового состояния принципала – поселения представляет собой проверку соблюдения требований, установленных статьями 92</w:t>
      </w:r>
      <w:r w:rsidRPr="00A472AD">
        <w:rPr>
          <w:kern w:val="2"/>
          <w:sz w:val="28"/>
          <w:szCs w:val="28"/>
          <w:vertAlign w:val="superscript"/>
        </w:rPr>
        <w:t>1</w:t>
      </w:r>
      <w:r w:rsidRPr="00A472AD">
        <w:rPr>
          <w:kern w:val="2"/>
          <w:sz w:val="28"/>
          <w:szCs w:val="28"/>
        </w:rPr>
        <w:t>, 106 и 107 Бюджетного кодекса Российской Федерации:</w:t>
      </w:r>
    </w:p>
    <w:p w:rsidR="00CB4C28" w:rsidRPr="00A472AD" w:rsidRDefault="00CB4C28" w:rsidP="00CB4C28">
      <w:pPr>
        <w:ind w:firstLine="709"/>
        <w:jc w:val="both"/>
        <w:rPr>
          <w:kern w:val="2"/>
          <w:sz w:val="28"/>
          <w:szCs w:val="28"/>
        </w:rPr>
      </w:pPr>
      <w:r w:rsidRPr="00A472AD">
        <w:rPr>
          <w:kern w:val="2"/>
          <w:sz w:val="28"/>
          <w:szCs w:val="28"/>
        </w:rPr>
        <w:t>по размеру дефицита бюджета поселения;</w:t>
      </w:r>
    </w:p>
    <w:p w:rsidR="00CB4C28" w:rsidRPr="00A472AD" w:rsidRDefault="00CB4C28" w:rsidP="00CB4C28">
      <w:pPr>
        <w:ind w:firstLine="709"/>
        <w:jc w:val="both"/>
        <w:rPr>
          <w:kern w:val="2"/>
          <w:sz w:val="28"/>
          <w:szCs w:val="28"/>
        </w:rPr>
      </w:pPr>
      <w:r w:rsidRPr="00A472AD">
        <w:rPr>
          <w:kern w:val="2"/>
          <w:sz w:val="28"/>
          <w:szCs w:val="28"/>
        </w:rPr>
        <w:t>по предельному объему муниципальных заимствований;</w:t>
      </w:r>
    </w:p>
    <w:p w:rsidR="00CB4C28" w:rsidRPr="00A472AD" w:rsidRDefault="00CB4C28" w:rsidP="00CB4C28">
      <w:pPr>
        <w:ind w:firstLine="709"/>
        <w:jc w:val="both"/>
        <w:rPr>
          <w:kern w:val="2"/>
          <w:sz w:val="28"/>
          <w:szCs w:val="28"/>
        </w:rPr>
      </w:pPr>
      <w:r w:rsidRPr="00A472AD">
        <w:rPr>
          <w:kern w:val="2"/>
          <w:sz w:val="28"/>
          <w:szCs w:val="28"/>
        </w:rPr>
        <w:t>по верхнему пределу муниципального внутреннего долга;</w:t>
      </w:r>
    </w:p>
    <w:p w:rsidR="00CB4C28" w:rsidRPr="00A472AD" w:rsidRDefault="00CB4C28" w:rsidP="00CB4C28">
      <w:pPr>
        <w:ind w:firstLine="709"/>
        <w:jc w:val="both"/>
        <w:rPr>
          <w:kern w:val="2"/>
          <w:sz w:val="28"/>
          <w:szCs w:val="28"/>
        </w:rPr>
      </w:pPr>
      <w:r w:rsidRPr="00A472AD">
        <w:rPr>
          <w:kern w:val="2"/>
          <w:sz w:val="28"/>
          <w:szCs w:val="28"/>
        </w:rPr>
        <w:t>по объему муниципального долга;</w:t>
      </w:r>
    </w:p>
    <w:p w:rsidR="00CB4C28" w:rsidRPr="00A472AD" w:rsidRDefault="00CB4C28" w:rsidP="00CB4C28">
      <w:pPr>
        <w:ind w:firstLine="709"/>
        <w:jc w:val="both"/>
        <w:rPr>
          <w:kern w:val="2"/>
          <w:sz w:val="28"/>
          <w:szCs w:val="28"/>
        </w:rPr>
      </w:pPr>
      <w:r w:rsidRPr="00A472AD">
        <w:rPr>
          <w:kern w:val="2"/>
          <w:sz w:val="28"/>
          <w:szCs w:val="28"/>
        </w:rPr>
        <w:t>по объему расходов на обслуживание муниципального долга;</w:t>
      </w:r>
    </w:p>
    <w:p w:rsidR="00CB4C28" w:rsidRPr="00A472AD" w:rsidRDefault="00CB4C28" w:rsidP="00CB4C28">
      <w:pPr>
        <w:ind w:firstLine="709"/>
        <w:jc w:val="both"/>
        <w:rPr>
          <w:kern w:val="2"/>
          <w:sz w:val="28"/>
          <w:szCs w:val="28"/>
        </w:rPr>
      </w:pPr>
      <w:r w:rsidRPr="00A472AD">
        <w:rPr>
          <w:kern w:val="2"/>
          <w:sz w:val="28"/>
          <w:szCs w:val="28"/>
        </w:rPr>
        <w:t>по годовой сумме платежей по погашению и обслуживанию муниципального долга, возникшего по состоянию на 1 января очередного финансового года (</w:t>
      </w:r>
      <w:r w:rsidR="00393FE7" w:rsidRPr="00A472AD">
        <w:rPr>
          <w:kern w:val="2"/>
          <w:sz w:val="28"/>
          <w:szCs w:val="28"/>
        </w:rPr>
        <w:t>применяется,</w:t>
      </w:r>
      <w:r w:rsidRPr="00A472AD">
        <w:rPr>
          <w:kern w:val="2"/>
          <w:sz w:val="28"/>
          <w:szCs w:val="28"/>
        </w:rPr>
        <w:t xml:space="preserve"> начиная с бюджетов на 2021 год).</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Финансовое состояние принципала – поселения является удовлетворительным в случае соблюдения требований, установленных статьями 92</w:t>
      </w:r>
      <w:r w:rsidRPr="00A472AD">
        <w:rPr>
          <w:kern w:val="2"/>
          <w:sz w:val="28"/>
          <w:szCs w:val="28"/>
          <w:vertAlign w:val="superscript"/>
        </w:rPr>
        <w:t>1</w:t>
      </w:r>
      <w:r w:rsidRPr="00A472AD">
        <w:rPr>
          <w:kern w:val="2"/>
          <w:sz w:val="28"/>
          <w:szCs w:val="28"/>
        </w:rPr>
        <w:t>, 106 и 107 Бюджетного кодекса Российской Федерации, в анализируемом периоде.</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В случае не соблюдения требований, установленных статьями 92</w:t>
      </w:r>
      <w:r w:rsidRPr="00A472AD">
        <w:rPr>
          <w:kern w:val="2"/>
          <w:sz w:val="28"/>
          <w:szCs w:val="28"/>
          <w:vertAlign w:val="superscript"/>
        </w:rPr>
        <w:t>1</w:t>
      </w:r>
      <w:r w:rsidRPr="00A472AD">
        <w:rPr>
          <w:kern w:val="2"/>
          <w:sz w:val="28"/>
          <w:szCs w:val="28"/>
        </w:rPr>
        <w:t>, 106 и 107 Бюджетного кодекса Российской Федерации, финансовое состояние принципала – поселения признается неудовлетворительным.</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Результаты анализа финансового состояния принципала – поселения оформляются в виде заключения финансового управления Администрации Белокалитвинского района.</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1.6. При проведении анализа финансового состояния принципала – юридического лица рассматриваются следующие показатели:</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коэффициент покрытия основных средств собственными средствами (К1);</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коэффициент текущей ликвидности (К2);</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рентабельность продаж (К3);</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норма чистой прибыли (К4).</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Показатели К1, К2, К3 и К4 рассчитываются для каждого отчетного периода.</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Показатели К3 и К4 также рассчитываются для всего анализируемого периода в целом. При этом показатели К3 и К4 не рассчитываются, если на момент проведения анализа финансового состояния с даты внесения в Единый государственный реестр юридических лиц записи о создании принципала прошло менее 1 года.</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Используемые в пунктах 1.7 и 1.8 настоящего раздела сокращения обозначают следующее:</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w:t>
      </w:r>
      <w:proofErr w:type="spellStart"/>
      <w:r w:rsidRPr="00A472AD">
        <w:rPr>
          <w:kern w:val="2"/>
          <w:sz w:val="28"/>
          <w:szCs w:val="28"/>
        </w:rPr>
        <w:t>н.п</w:t>
      </w:r>
      <w:proofErr w:type="spellEnd"/>
      <w:r w:rsidRPr="00A472AD">
        <w:rPr>
          <w:kern w:val="2"/>
          <w:sz w:val="28"/>
          <w:szCs w:val="28"/>
        </w:rPr>
        <w:t>.» – на начало отчетного периода;</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w:t>
      </w:r>
      <w:proofErr w:type="spellStart"/>
      <w:r w:rsidRPr="00A472AD">
        <w:rPr>
          <w:kern w:val="2"/>
          <w:sz w:val="28"/>
          <w:szCs w:val="28"/>
        </w:rPr>
        <w:t>к.п</w:t>
      </w:r>
      <w:proofErr w:type="spellEnd"/>
      <w:r w:rsidRPr="00A472AD">
        <w:rPr>
          <w:kern w:val="2"/>
          <w:sz w:val="28"/>
          <w:szCs w:val="28"/>
        </w:rPr>
        <w:t>.» – на конец отчетного периода.</w:t>
      </w:r>
    </w:p>
    <w:p w:rsidR="00CB4C28" w:rsidRPr="00A472AD" w:rsidRDefault="00CB4C28" w:rsidP="00CB4C28">
      <w:pPr>
        <w:autoSpaceDE w:val="0"/>
        <w:autoSpaceDN w:val="0"/>
        <w:adjustRightInd w:val="0"/>
        <w:ind w:firstLine="709"/>
        <w:jc w:val="both"/>
        <w:rPr>
          <w:kern w:val="2"/>
          <w:sz w:val="28"/>
          <w:szCs w:val="28"/>
        </w:rPr>
      </w:pPr>
      <w:bookmarkStart w:id="4" w:name="Par0"/>
      <w:bookmarkEnd w:id="4"/>
      <w:r w:rsidRPr="00A472AD">
        <w:rPr>
          <w:kern w:val="2"/>
          <w:sz w:val="28"/>
          <w:szCs w:val="28"/>
        </w:rPr>
        <w:t>1.7. Коэффициент покрытия основных средств собственными средствами (К1) характеризует необходимость продажи принципалом – юридическим лицом своих основных средств для осуществления полного расчета кредиторами и определяется по данным бухгалтерского баланса по формуле:</w:t>
      </w:r>
    </w:p>
    <w:p w:rsidR="00CB4C28" w:rsidRPr="00A472AD" w:rsidRDefault="00CB4C28" w:rsidP="00CB4C28">
      <w:pPr>
        <w:autoSpaceDE w:val="0"/>
        <w:autoSpaceDN w:val="0"/>
        <w:adjustRightInd w:val="0"/>
        <w:ind w:firstLine="709"/>
        <w:jc w:val="both"/>
        <w:rPr>
          <w:kern w:val="2"/>
          <w:sz w:val="28"/>
          <w:szCs w:val="28"/>
        </w:rPr>
      </w:pPr>
      <w:r w:rsidRPr="00A472AD">
        <w:rPr>
          <w:noProof/>
          <w:kern w:val="2"/>
          <w:sz w:val="28"/>
          <w:szCs w:val="28"/>
        </w:rPr>
        <w:lastRenderedPageBreak/>
        <w:drawing>
          <wp:inline distT="0" distB="0" distL="0" distR="0">
            <wp:extent cx="4031615" cy="8267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1615" cy="826770"/>
                    </a:xfrm>
                    <a:prstGeom prst="rect">
                      <a:avLst/>
                    </a:prstGeom>
                    <a:noFill/>
                    <a:ln>
                      <a:noFill/>
                    </a:ln>
                  </pic:spPr>
                </pic:pic>
              </a:graphicData>
            </a:graphic>
          </wp:inline>
        </w:drawing>
      </w:r>
    </w:p>
    <w:p w:rsidR="00CB4C28" w:rsidRPr="00A472AD" w:rsidRDefault="00CB4C28" w:rsidP="00CB4C28">
      <w:pPr>
        <w:autoSpaceDE w:val="0"/>
        <w:autoSpaceDN w:val="0"/>
        <w:adjustRightInd w:val="0"/>
        <w:ind w:firstLine="709"/>
        <w:jc w:val="both"/>
        <w:rPr>
          <w:kern w:val="2"/>
          <w:sz w:val="28"/>
          <w:szCs w:val="28"/>
        </w:rPr>
      </w:pP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1.8. Коэффициент текущей ликвидности (К2) показывает достаточность оборотных средств принципала – юридического лица для погашения своих текущих обязательств и определяется по данным бухгалтерского баланса по формуле:</w:t>
      </w:r>
    </w:p>
    <w:p w:rsidR="00CB4C28" w:rsidRPr="00A472AD" w:rsidRDefault="00CB4C28" w:rsidP="00CB4C28">
      <w:pPr>
        <w:autoSpaceDE w:val="0"/>
        <w:autoSpaceDN w:val="0"/>
        <w:adjustRightInd w:val="0"/>
        <w:ind w:firstLine="709"/>
        <w:jc w:val="both"/>
        <w:rPr>
          <w:kern w:val="2"/>
          <w:sz w:val="28"/>
          <w:szCs w:val="28"/>
        </w:rPr>
      </w:pPr>
    </w:p>
    <w:p w:rsidR="00CB4C28" w:rsidRPr="00A472AD" w:rsidRDefault="00CB4C28" w:rsidP="00CB4C28">
      <w:pPr>
        <w:autoSpaceDE w:val="0"/>
        <w:autoSpaceDN w:val="0"/>
        <w:adjustRightInd w:val="0"/>
        <w:ind w:firstLine="709"/>
        <w:jc w:val="both"/>
        <w:rPr>
          <w:kern w:val="2"/>
          <w:sz w:val="28"/>
          <w:szCs w:val="28"/>
        </w:rPr>
      </w:pPr>
      <w:r w:rsidRPr="00A472AD">
        <w:rPr>
          <w:noProof/>
          <w:kern w:val="2"/>
          <w:sz w:val="28"/>
          <w:szCs w:val="28"/>
        </w:rPr>
        <w:drawing>
          <wp:inline distT="0" distB="0" distL="0" distR="0">
            <wp:extent cx="4031615" cy="136779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1615" cy="1367790"/>
                    </a:xfrm>
                    <a:prstGeom prst="rect">
                      <a:avLst/>
                    </a:prstGeom>
                    <a:noFill/>
                    <a:ln>
                      <a:noFill/>
                    </a:ln>
                  </pic:spPr>
                </pic:pic>
              </a:graphicData>
            </a:graphic>
          </wp:inline>
        </w:drawing>
      </w:r>
    </w:p>
    <w:p w:rsidR="00CB4C28" w:rsidRPr="00A472AD" w:rsidRDefault="00CB4C28" w:rsidP="00CB4C28">
      <w:pPr>
        <w:autoSpaceDE w:val="0"/>
        <w:autoSpaceDN w:val="0"/>
        <w:adjustRightInd w:val="0"/>
        <w:ind w:firstLine="709"/>
        <w:jc w:val="both"/>
        <w:rPr>
          <w:kern w:val="2"/>
          <w:sz w:val="28"/>
          <w:szCs w:val="28"/>
        </w:rPr>
      </w:pP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1.9. Рентабельность продаж (К3) – доля прибыли от продаж в объеме продаж. Характеризует степень эффективности основной деятельности принципала – юридического лица и определяется по данным отчета о финансовых результатах по формуле:</w:t>
      </w:r>
    </w:p>
    <w:p w:rsidR="00CB4C28" w:rsidRPr="00A472AD" w:rsidRDefault="00CB4C28" w:rsidP="00CB4C28">
      <w:pPr>
        <w:autoSpaceDE w:val="0"/>
        <w:autoSpaceDN w:val="0"/>
        <w:adjustRightInd w:val="0"/>
        <w:ind w:firstLine="709"/>
        <w:jc w:val="both"/>
        <w:rPr>
          <w:kern w:val="2"/>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CB4C28" w:rsidRPr="00A472AD" w:rsidTr="006C6D55">
        <w:tc>
          <w:tcPr>
            <w:tcW w:w="9843" w:type="dxa"/>
          </w:tcPr>
          <w:p w:rsidR="00CB4C28" w:rsidRPr="00A472AD" w:rsidRDefault="00CB4C28" w:rsidP="006C6D55">
            <w:pPr>
              <w:autoSpaceDE w:val="0"/>
              <w:autoSpaceDN w:val="0"/>
              <w:adjustRightInd w:val="0"/>
              <w:ind w:firstLine="709"/>
              <w:jc w:val="both"/>
              <w:rPr>
                <w:kern w:val="2"/>
                <w:sz w:val="28"/>
                <w:szCs w:val="28"/>
              </w:rPr>
            </w:pPr>
            <w:r w:rsidRPr="00A472AD">
              <w:rPr>
                <w:kern w:val="2"/>
                <w:sz w:val="28"/>
                <w:szCs w:val="28"/>
              </w:rPr>
              <w:t>для каждого отчетного периода:</w:t>
            </w:r>
          </w:p>
        </w:tc>
      </w:tr>
      <w:tr w:rsidR="00CB4C28" w:rsidRPr="00A472AD" w:rsidTr="006C6D55">
        <w:tc>
          <w:tcPr>
            <w:tcW w:w="9843" w:type="dxa"/>
            <w:vAlign w:val="center"/>
          </w:tcPr>
          <w:p w:rsidR="00CB4C28" w:rsidRPr="00A472AD" w:rsidRDefault="00CB4C28" w:rsidP="006C6D55">
            <w:pPr>
              <w:autoSpaceDE w:val="0"/>
              <w:autoSpaceDN w:val="0"/>
              <w:adjustRightInd w:val="0"/>
              <w:ind w:firstLine="709"/>
              <w:jc w:val="center"/>
              <w:rPr>
                <w:kern w:val="2"/>
                <w:sz w:val="28"/>
                <w:szCs w:val="28"/>
              </w:rPr>
            </w:pPr>
            <w:r w:rsidRPr="00A472AD">
              <w:rPr>
                <w:noProof/>
                <w:kern w:val="2"/>
                <w:sz w:val="28"/>
                <w:szCs w:val="28"/>
              </w:rPr>
              <w:drawing>
                <wp:anchor distT="0" distB="0" distL="114300" distR="114300" simplePos="0" relativeHeight="251659264" behindDoc="0" locked="0" layoutInCell="1" allowOverlap="1">
                  <wp:simplePos x="0" y="0"/>
                  <wp:positionH relativeFrom="column">
                    <wp:posOffset>2349500</wp:posOffset>
                  </wp:positionH>
                  <wp:positionV relativeFrom="paragraph">
                    <wp:posOffset>-17145</wp:posOffset>
                  </wp:positionV>
                  <wp:extent cx="1209675" cy="467995"/>
                  <wp:effectExtent l="0" t="0" r="9525" b="825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4C28" w:rsidRPr="00A472AD" w:rsidRDefault="00CB4C28" w:rsidP="006C6D55">
            <w:pPr>
              <w:autoSpaceDE w:val="0"/>
              <w:autoSpaceDN w:val="0"/>
              <w:adjustRightInd w:val="0"/>
              <w:ind w:firstLine="709"/>
              <w:jc w:val="center"/>
              <w:rPr>
                <w:kern w:val="2"/>
                <w:sz w:val="28"/>
                <w:szCs w:val="28"/>
              </w:rPr>
            </w:pPr>
            <w:r w:rsidRPr="00A472AD">
              <w:rPr>
                <w:kern w:val="2"/>
                <w:sz w:val="28"/>
                <w:szCs w:val="28"/>
              </w:rPr>
              <w:t xml:space="preserve">            ;</w:t>
            </w:r>
          </w:p>
        </w:tc>
      </w:tr>
      <w:tr w:rsidR="00CB4C28" w:rsidRPr="00A472AD" w:rsidTr="006C6D55">
        <w:tc>
          <w:tcPr>
            <w:tcW w:w="9843" w:type="dxa"/>
          </w:tcPr>
          <w:p w:rsidR="00CB4C28" w:rsidRPr="00A472AD" w:rsidRDefault="00CB4C28" w:rsidP="006C6D55">
            <w:pPr>
              <w:autoSpaceDE w:val="0"/>
              <w:autoSpaceDN w:val="0"/>
              <w:adjustRightInd w:val="0"/>
              <w:ind w:firstLine="709"/>
              <w:rPr>
                <w:kern w:val="2"/>
                <w:sz w:val="28"/>
                <w:szCs w:val="28"/>
              </w:rPr>
            </w:pPr>
            <w:r w:rsidRPr="00A472AD">
              <w:rPr>
                <w:kern w:val="2"/>
                <w:sz w:val="28"/>
                <w:szCs w:val="28"/>
              </w:rPr>
              <w:t>для всего анализируемого периода:</w:t>
            </w:r>
          </w:p>
        </w:tc>
      </w:tr>
      <w:tr w:rsidR="00CB4C28" w:rsidRPr="00A472AD" w:rsidTr="006C6D55">
        <w:tc>
          <w:tcPr>
            <w:tcW w:w="9843" w:type="dxa"/>
          </w:tcPr>
          <w:p w:rsidR="00CB4C28" w:rsidRPr="00A472AD" w:rsidRDefault="00CB4C28" w:rsidP="006C6D55">
            <w:pPr>
              <w:autoSpaceDE w:val="0"/>
              <w:autoSpaceDN w:val="0"/>
              <w:adjustRightInd w:val="0"/>
              <w:ind w:firstLine="709"/>
              <w:jc w:val="center"/>
              <w:rPr>
                <w:kern w:val="2"/>
                <w:sz w:val="28"/>
                <w:szCs w:val="28"/>
              </w:rPr>
            </w:pPr>
            <w:r w:rsidRPr="00A472AD">
              <w:rPr>
                <w:noProof/>
                <w:kern w:val="2"/>
                <w:sz w:val="28"/>
                <w:szCs w:val="28"/>
              </w:rPr>
              <w:drawing>
                <wp:inline distT="0" distB="0" distL="0" distR="0">
                  <wp:extent cx="4031615" cy="469265"/>
                  <wp:effectExtent l="0" t="0" r="698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1615" cy="469265"/>
                          </a:xfrm>
                          <a:prstGeom prst="rect">
                            <a:avLst/>
                          </a:prstGeom>
                          <a:noFill/>
                          <a:ln>
                            <a:noFill/>
                          </a:ln>
                        </pic:spPr>
                      </pic:pic>
                    </a:graphicData>
                  </a:graphic>
                </wp:inline>
              </w:drawing>
            </w:r>
            <w:r w:rsidRPr="00A472AD">
              <w:rPr>
                <w:kern w:val="2"/>
                <w:sz w:val="28"/>
                <w:szCs w:val="28"/>
              </w:rPr>
              <w:t>,</w:t>
            </w:r>
          </w:p>
        </w:tc>
      </w:tr>
      <w:tr w:rsidR="00CB4C28" w:rsidRPr="00A472AD" w:rsidTr="006C6D55">
        <w:tc>
          <w:tcPr>
            <w:tcW w:w="9843" w:type="dxa"/>
          </w:tcPr>
          <w:p w:rsidR="00CB4C28" w:rsidRPr="00A472AD" w:rsidRDefault="00CB4C28" w:rsidP="006C6D55">
            <w:pPr>
              <w:autoSpaceDE w:val="0"/>
              <w:autoSpaceDN w:val="0"/>
              <w:adjustRightInd w:val="0"/>
              <w:ind w:firstLine="709"/>
              <w:jc w:val="both"/>
              <w:rPr>
                <w:kern w:val="2"/>
                <w:sz w:val="28"/>
                <w:szCs w:val="28"/>
              </w:rPr>
            </w:pPr>
            <w:r w:rsidRPr="00A472AD">
              <w:rPr>
                <w:kern w:val="2"/>
                <w:sz w:val="28"/>
                <w:szCs w:val="28"/>
              </w:rPr>
              <w:t>где 1 – 1-й отчетный период, 2 – 2-й отчетный период, 3 – последний отчетный период.</w:t>
            </w:r>
          </w:p>
        </w:tc>
      </w:tr>
    </w:tbl>
    <w:p w:rsidR="00CB4C28" w:rsidRPr="00A472AD" w:rsidRDefault="00CB4C28" w:rsidP="00CB4C28">
      <w:pPr>
        <w:autoSpaceDE w:val="0"/>
        <w:autoSpaceDN w:val="0"/>
        <w:adjustRightInd w:val="0"/>
        <w:ind w:firstLine="709"/>
        <w:jc w:val="both"/>
        <w:rPr>
          <w:kern w:val="2"/>
          <w:sz w:val="28"/>
          <w:szCs w:val="28"/>
        </w:rPr>
      </w:pP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1.10. Норма чистой прибыли (К4) – доля чистой прибыли в объеме продаж. Характеризует общую экономическую эффективность деятельности принципала – юридического лица и определяется по данным отчета о финансовых результатах по формуле:</w:t>
      </w:r>
    </w:p>
    <w:p w:rsidR="00CB4C28" w:rsidRPr="00A472AD" w:rsidRDefault="00CB4C28" w:rsidP="00CB4C28">
      <w:pPr>
        <w:autoSpaceDE w:val="0"/>
        <w:autoSpaceDN w:val="0"/>
        <w:adjustRightInd w:val="0"/>
        <w:ind w:firstLine="709"/>
        <w:jc w:val="both"/>
        <w:rPr>
          <w:kern w:val="2"/>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CB4C28" w:rsidRPr="00A472AD" w:rsidTr="006C6D55">
        <w:tc>
          <w:tcPr>
            <w:tcW w:w="9843" w:type="dxa"/>
          </w:tcPr>
          <w:p w:rsidR="00CB4C28" w:rsidRPr="00A472AD" w:rsidRDefault="00CB4C28" w:rsidP="006C6D55">
            <w:pPr>
              <w:pageBreakBefore/>
              <w:autoSpaceDE w:val="0"/>
              <w:autoSpaceDN w:val="0"/>
              <w:adjustRightInd w:val="0"/>
              <w:ind w:firstLine="709"/>
              <w:rPr>
                <w:kern w:val="2"/>
                <w:sz w:val="28"/>
                <w:szCs w:val="28"/>
              </w:rPr>
            </w:pPr>
            <w:r w:rsidRPr="00A472AD">
              <w:rPr>
                <w:kern w:val="2"/>
                <w:sz w:val="28"/>
                <w:szCs w:val="28"/>
              </w:rPr>
              <w:lastRenderedPageBreak/>
              <w:t>для каждого отчетного периода:</w:t>
            </w:r>
          </w:p>
        </w:tc>
      </w:tr>
      <w:tr w:rsidR="00CB4C28" w:rsidRPr="00A472AD" w:rsidTr="006C6D55">
        <w:tc>
          <w:tcPr>
            <w:tcW w:w="9843" w:type="dxa"/>
          </w:tcPr>
          <w:p w:rsidR="00CB4C28" w:rsidRPr="00A472AD" w:rsidRDefault="00CB4C28" w:rsidP="006C6D55">
            <w:pPr>
              <w:autoSpaceDE w:val="0"/>
              <w:autoSpaceDN w:val="0"/>
              <w:adjustRightInd w:val="0"/>
              <w:jc w:val="center"/>
              <w:rPr>
                <w:kern w:val="2"/>
                <w:sz w:val="28"/>
                <w:szCs w:val="28"/>
              </w:rPr>
            </w:pPr>
            <w:r w:rsidRPr="00A472AD">
              <w:rPr>
                <w:noProof/>
                <w:kern w:val="2"/>
                <w:sz w:val="28"/>
                <w:szCs w:val="28"/>
              </w:rPr>
              <w:drawing>
                <wp:anchor distT="0" distB="0" distL="114300" distR="114300" simplePos="0" relativeHeight="251660288" behindDoc="0" locked="0" layoutInCell="1" allowOverlap="1">
                  <wp:simplePos x="0" y="0"/>
                  <wp:positionH relativeFrom="column">
                    <wp:posOffset>2516505</wp:posOffset>
                  </wp:positionH>
                  <wp:positionV relativeFrom="paragraph">
                    <wp:posOffset>-18415</wp:posOffset>
                  </wp:positionV>
                  <wp:extent cx="1165860" cy="467995"/>
                  <wp:effectExtent l="0" t="0" r="0" b="825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586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4C28" w:rsidRPr="00A472AD" w:rsidRDefault="00CB4C28" w:rsidP="006C6D55">
            <w:pPr>
              <w:autoSpaceDE w:val="0"/>
              <w:autoSpaceDN w:val="0"/>
              <w:adjustRightInd w:val="0"/>
              <w:jc w:val="center"/>
              <w:rPr>
                <w:kern w:val="2"/>
                <w:sz w:val="28"/>
                <w:szCs w:val="28"/>
              </w:rPr>
            </w:pPr>
            <w:r w:rsidRPr="00A472AD">
              <w:rPr>
                <w:kern w:val="2"/>
                <w:sz w:val="28"/>
                <w:szCs w:val="28"/>
              </w:rPr>
              <w:t xml:space="preserve">                           ;</w:t>
            </w:r>
          </w:p>
        </w:tc>
      </w:tr>
      <w:tr w:rsidR="00CB4C28" w:rsidRPr="00A472AD" w:rsidTr="006C6D55">
        <w:tc>
          <w:tcPr>
            <w:tcW w:w="9843" w:type="dxa"/>
          </w:tcPr>
          <w:p w:rsidR="00CB4C28" w:rsidRPr="00A472AD" w:rsidRDefault="00CB4C28" w:rsidP="006C6D55">
            <w:pPr>
              <w:autoSpaceDE w:val="0"/>
              <w:autoSpaceDN w:val="0"/>
              <w:adjustRightInd w:val="0"/>
              <w:ind w:firstLine="709"/>
              <w:rPr>
                <w:kern w:val="2"/>
                <w:sz w:val="28"/>
                <w:szCs w:val="28"/>
              </w:rPr>
            </w:pPr>
            <w:r w:rsidRPr="00A472AD">
              <w:rPr>
                <w:kern w:val="2"/>
                <w:sz w:val="28"/>
                <w:szCs w:val="28"/>
              </w:rPr>
              <w:t>для всего анализируемого периода:</w:t>
            </w:r>
          </w:p>
        </w:tc>
      </w:tr>
      <w:tr w:rsidR="00CB4C28" w:rsidRPr="00A472AD" w:rsidTr="006C6D55">
        <w:tc>
          <w:tcPr>
            <w:tcW w:w="9843" w:type="dxa"/>
          </w:tcPr>
          <w:p w:rsidR="00CB4C28" w:rsidRPr="00A472AD" w:rsidRDefault="00CB4C28" w:rsidP="006C6D55">
            <w:pPr>
              <w:autoSpaceDE w:val="0"/>
              <w:autoSpaceDN w:val="0"/>
              <w:adjustRightInd w:val="0"/>
              <w:jc w:val="center"/>
              <w:rPr>
                <w:kern w:val="2"/>
                <w:sz w:val="28"/>
                <w:szCs w:val="28"/>
              </w:rPr>
            </w:pPr>
            <w:r w:rsidRPr="00A472AD">
              <w:rPr>
                <w:noProof/>
                <w:kern w:val="2"/>
                <w:sz w:val="28"/>
                <w:szCs w:val="28"/>
              </w:rPr>
              <w:drawing>
                <wp:inline distT="0" distB="0" distL="0" distR="0">
                  <wp:extent cx="3768725" cy="4692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68725" cy="469265"/>
                          </a:xfrm>
                          <a:prstGeom prst="rect">
                            <a:avLst/>
                          </a:prstGeom>
                          <a:noFill/>
                          <a:ln>
                            <a:noFill/>
                          </a:ln>
                        </pic:spPr>
                      </pic:pic>
                    </a:graphicData>
                  </a:graphic>
                </wp:inline>
              </w:drawing>
            </w:r>
            <w:r w:rsidRPr="00A472AD">
              <w:rPr>
                <w:kern w:val="2"/>
                <w:sz w:val="28"/>
                <w:szCs w:val="28"/>
              </w:rPr>
              <w:t>,</w:t>
            </w:r>
          </w:p>
        </w:tc>
      </w:tr>
      <w:tr w:rsidR="00CB4C28" w:rsidRPr="00A472AD" w:rsidTr="006C6D55">
        <w:tc>
          <w:tcPr>
            <w:tcW w:w="9843" w:type="dxa"/>
          </w:tcPr>
          <w:p w:rsidR="00CB4C28" w:rsidRPr="00A472AD" w:rsidRDefault="00CB4C28" w:rsidP="006C6D55">
            <w:pPr>
              <w:autoSpaceDE w:val="0"/>
              <w:autoSpaceDN w:val="0"/>
              <w:adjustRightInd w:val="0"/>
              <w:ind w:firstLine="709"/>
              <w:jc w:val="both"/>
              <w:rPr>
                <w:kern w:val="2"/>
                <w:sz w:val="28"/>
                <w:szCs w:val="28"/>
              </w:rPr>
            </w:pPr>
            <w:r w:rsidRPr="00A472AD">
              <w:rPr>
                <w:kern w:val="2"/>
                <w:sz w:val="28"/>
                <w:szCs w:val="28"/>
              </w:rPr>
              <w:t>где 1 – 1-й отчетный период, 2 – 2-й отчетный период, 3 – последний отчетный период.</w:t>
            </w:r>
          </w:p>
        </w:tc>
      </w:tr>
    </w:tbl>
    <w:p w:rsidR="00CB4C28" w:rsidRPr="00A472AD" w:rsidRDefault="00CB4C28" w:rsidP="00CB4C28">
      <w:pPr>
        <w:autoSpaceDE w:val="0"/>
        <w:autoSpaceDN w:val="0"/>
        <w:adjustRightInd w:val="0"/>
        <w:ind w:firstLine="709"/>
        <w:jc w:val="both"/>
        <w:rPr>
          <w:kern w:val="2"/>
          <w:sz w:val="28"/>
          <w:szCs w:val="28"/>
        </w:rPr>
      </w:pP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1.11. Оценка расчетных значений показателей заключается в их соотнесении со следующими допустимыми значениями (при этом расчетные значения коэффициентов К1, К2, К3, К4 округляются до третьего знака после запятой):</w:t>
      </w:r>
    </w:p>
    <w:p w:rsidR="00CB4C28" w:rsidRPr="00A472AD" w:rsidRDefault="00CB4C28" w:rsidP="00CB4C28">
      <w:pPr>
        <w:autoSpaceDE w:val="0"/>
        <w:autoSpaceDN w:val="0"/>
        <w:adjustRightInd w:val="0"/>
        <w:ind w:firstLine="709"/>
        <w:jc w:val="both"/>
        <w:rPr>
          <w:kern w:val="2"/>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2492"/>
        <w:gridCol w:w="7146"/>
      </w:tblGrid>
      <w:tr w:rsidR="00CB4C28" w:rsidRPr="00A472AD" w:rsidTr="006C6D55">
        <w:tc>
          <w:tcPr>
            <w:tcW w:w="2472" w:type="dxa"/>
            <w:tcBorders>
              <w:top w:val="single" w:sz="4" w:space="0" w:color="auto"/>
              <w:bottom w:val="single" w:sz="4" w:space="0" w:color="auto"/>
              <w:right w:val="single" w:sz="4" w:space="0" w:color="auto"/>
            </w:tcBorders>
          </w:tcPr>
          <w:p w:rsidR="00CB4C28" w:rsidRPr="00A472AD" w:rsidRDefault="00CB4C28" w:rsidP="006C6D55">
            <w:pPr>
              <w:autoSpaceDE w:val="0"/>
              <w:autoSpaceDN w:val="0"/>
              <w:adjustRightInd w:val="0"/>
              <w:jc w:val="center"/>
              <w:rPr>
                <w:kern w:val="2"/>
                <w:sz w:val="28"/>
                <w:szCs w:val="28"/>
              </w:rPr>
            </w:pPr>
            <w:r w:rsidRPr="00A472AD">
              <w:rPr>
                <w:kern w:val="2"/>
                <w:sz w:val="28"/>
                <w:szCs w:val="28"/>
              </w:rPr>
              <w:t>Показатель</w:t>
            </w:r>
          </w:p>
        </w:tc>
        <w:tc>
          <w:tcPr>
            <w:tcW w:w="7087" w:type="dxa"/>
            <w:tcBorders>
              <w:top w:val="single" w:sz="4" w:space="0" w:color="auto"/>
              <w:left w:val="single" w:sz="4" w:space="0" w:color="auto"/>
              <w:bottom w:val="single" w:sz="4" w:space="0" w:color="auto"/>
            </w:tcBorders>
          </w:tcPr>
          <w:p w:rsidR="00CB4C28" w:rsidRPr="00A472AD" w:rsidRDefault="00CB4C28" w:rsidP="006C6D55">
            <w:pPr>
              <w:autoSpaceDE w:val="0"/>
              <w:autoSpaceDN w:val="0"/>
              <w:adjustRightInd w:val="0"/>
              <w:jc w:val="center"/>
              <w:rPr>
                <w:kern w:val="2"/>
                <w:sz w:val="28"/>
                <w:szCs w:val="28"/>
              </w:rPr>
            </w:pPr>
            <w:r w:rsidRPr="00A472AD">
              <w:rPr>
                <w:kern w:val="2"/>
                <w:sz w:val="28"/>
                <w:szCs w:val="28"/>
              </w:rPr>
              <w:t>Допустимое значение</w:t>
            </w:r>
          </w:p>
        </w:tc>
      </w:tr>
      <w:tr w:rsidR="00CB4C28" w:rsidRPr="00A472AD" w:rsidTr="006C6D55">
        <w:tc>
          <w:tcPr>
            <w:tcW w:w="2472" w:type="dxa"/>
            <w:tcBorders>
              <w:top w:val="single" w:sz="4" w:space="0" w:color="auto"/>
            </w:tcBorders>
          </w:tcPr>
          <w:p w:rsidR="00CB4C28" w:rsidRPr="00A472AD" w:rsidRDefault="00CB4C28" w:rsidP="006C6D55">
            <w:pPr>
              <w:autoSpaceDE w:val="0"/>
              <w:autoSpaceDN w:val="0"/>
              <w:adjustRightInd w:val="0"/>
              <w:jc w:val="center"/>
              <w:rPr>
                <w:kern w:val="2"/>
                <w:sz w:val="28"/>
                <w:szCs w:val="28"/>
              </w:rPr>
            </w:pPr>
            <w:r w:rsidRPr="00A472AD">
              <w:rPr>
                <w:kern w:val="2"/>
                <w:sz w:val="28"/>
                <w:szCs w:val="28"/>
              </w:rPr>
              <w:t>К1</w:t>
            </w:r>
          </w:p>
        </w:tc>
        <w:tc>
          <w:tcPr>
            <w:tcW w:w="7087" w:type="dxa"/>
            <w:tcBorders>
              <w:top w:val="single" w:sz="4" w:space="0" w:color="auto"/>
            </w:tcBorders>
          </w:tcPr>
          <w:p w:rsidR="00CB4C28" w:rsidRPr="00A472AD" w:rsidRDefault="00CB4C28" w:rsidP="006C6D55">
            <w:pPr>
              <w:autoSpaceDE w:val="0"/>
              <w:autoSpaceDN w:val="0"/>
              <w:adjustRightInd w:val="0"/>
              <w:jc w:val="center"/>
              <w:rPr>
                <w:kern w:val="2"/>
                <w:sz w:val="28"/>
                <w:szCs w:val="28"/>
              </w:rPr>
            </w:pPr>
            <w:r w:rsidRPr="00A472AD">
              <w:rPr>
                <w:kern w:val="2"/>
                <w:sz w:val="28"/>
                <w:szCs w:val="28"/>
              </w:rPr>
              <w:t>больше или равно 1</w:t>
            </w:r>
          </w:p>
        </w:tc>
      </w:tr>
      <w:tr w:rsidR="00CB4C28" w:rsidRPr="00A472AD" w:rsidTr="006C6D55">
        <w:tc>
          <w:tcPr>
            <w:tcW w:w="2472" w:type="dxa"/>
          </w:tcPr>
          <w:p w:rsidR="00CB4C28" w:rsidRPr="00A472AD" w:rsidRDefault="00CB4C28" w:rsidP="006C6D55">
            <w:pPr>
              <w:autoSpaceDE w:val="0"/>
              <w:autoSpaceDN w:val="0"/>
              <w:adjustRightInd w:val="0"/>
              <w:jc w:val="center"/>
              <w:rPr>
                <w:kern w:val="2"/>
                <w:sz w:val="28"/>
                <w:szCs w:val="28"/>
              </w:rPr>
            </w:pPr>
            <w:r w:rsidRPr="00A472AD">
              <w:rPr>
                <w:kern w:val="2"/>
                <w:sz w:val="28"/>
                <w:szCs w:val="28"/>
              </w:rPr>
              <w:t>К2</w:t>
            </w:r>
          </w:p>
        </w:tc>
        <w:tc>
          <w:tcPr>
            <w:tcW w:w="7087" w:type="dxa"/>
          </w:tcPr>
          <w:p w:rsidR="00CB4C28" w:rsidRPr="00A472AD" w:rsidRDefault="00CB4C28" w:rsidP="006C6D55">
            <w:pPr>
              <w:autoSpaceDE w:val="0"/>
              <w:autoSpaceDN w:val="0"/>
              <w:adjustRightInd w:val="0"/>
              <w:jc w:val="center"/>
              <w:rPr>
                <w:kern w:val="2"/>
                <w:sz w:val="28"/>
                <w:szCs w:val="28"/>
              </w:rPr>
            </w:pPr>
            <w:r w:rsidRPr="00A472AD">
              <w:rPr>
                <w:kern w:val="2"/>
                <w:sz w:val="28"/>
                <w:szCs w:val="28"/>
              </w:rPr>
              <w:t>больше или равно 1</w:t>
            </w:r>
          </w:p>
        </w:tc>
      </w:tr>
      <w:tr w:rsidR="00CB4C28" w:rsidRPr="00A472AD" w:rsidTr="006C6D55">
        <w:tc>
          <w:tcPr>
            <w:tcW w:w="2472" w:type="dxa"/>
          </w:tcPr>
          <w:p w:rsidR="00CB4C28" w:rsidRPr="00A472AD" w:rsidRDefault="00CB4C28" w:rsidP="006C6D55">
            <w:pPr>
              <w:autoSpaceDE w:val="0"/>
              <w:autoSpaceDN w:val="0"/>
              <w:adjustRightInd w:val="0"/>
              <w:jc w:val="center"/>
              <w:rPr>
                <w:kern w:val="2"/>
                <w:sz w:val="28"/>
                <w:szCs w:val="28"/>
              </w:rPr>
            </w:pPr>
            <w:r w:rsidRPr="00A472AD">
              <w:rPr>
                <w:kern w:val="2"/>
                <w:sz w:val="28"/>
                <w:szCs w:val="28"/>
              </w:rPr>
              <w:t>К3</w:t>
            </w:r>
          </w:p>
        </w:tc>
        <w:tc>
          <w:tcPr>
            <w:tcW w:w="7087" w:type="dxa"/>
          </w:tcPr>
          <w:p w:rsidR="00CB4C28" w:rsidRPr="00A472AD" w:rsidRDefault="00CB4C28" w:rsidP="006C6D55">
            <w:pPr>
              <w:autoSpaceDE w:val="0"/>
              <w:autoSpaceDN w:val="0"/>
              <w:adjustRightInd w:val="0"/>
              <w:jc w:val="center"/>
              <w:rPr>
                <w:kern w:val="2"/>
                <w:sz w:val="28"/>
                <w:szCs w:val="28"/>
              </w:rPr>
            </w:pPr>
            <w:r w:rsidRPr="00A472AD">
              <w:rPr>
                <w:kern w:val="2"/>
                <w:sz w:val="28"/>
                <w:szCs w:val="28"/>
              </w:rPr>
              <w:t>больше 0</w:t>
            </w:r>
          </w:p>
        </w:tc>
      </w:tr>
      <w:tr w:rsidR="00CB4C28" w:rsidRPr="00A472AD" w:rsidTr="006C6D55">
        <w:tc>
          <w:tcPr>
            <w:tcW w:w="2472" w:type="dxa"/>
          </w:tcPr>
          <w:p w:rsidR="00CB4C28" w:rsidRPr="00A472AD" w:rsidRDefault="00CB4C28" w:rsidP="006C6D55">
            <w:pPr>
              <w:autoSpaceDE w:val="0"/>
              <w:autoSpaceDN w:val="0"/>
              <w:adjustRightInd w:val="0"/>
              <w:jc w:val="center"/>
              <w:rPr>
                <w:kern w:val="2"/>
                <w:sz w:val="28"/>
                <w:szCs w:val="28"/>
              </w:rPr>
            </w:pPr>
            <w:r w:rsidRPr="00A472AD">
              <w:rPr>
                <w:kern w:val="2"/>
                <w:sz w:val="28"/>
                <w:szCs w:val="28"/>
              </w:rPr>
              <w:t>К4</w:t>
            </w:r>
          </w:p>
        </w:tc>
        <w:tc>
          <w:tcPr>
            <w:tcW w:w="7087" w:type="dxa"/>
          </w:tcPr>
          <w:p w:rsidR="00CB4C28" w:rsidRPr="00A472AD" w:rsidRDefault="00CB4C28" w:rsidP="006C6D55">
            <w:pPr>
              <w:autoSpaceDE w:val="0"/>
              <w:autoSpaceDN w:val="0"/>
              <w:adjustRightInd w:val="0"/>
              <w:jc w:val="center"/>
              <w:rPr>
                <w:kern w:val="2"/>
                <w:sz w:val="28"/>
                <w:szCs w:val="28"/>
              </w:rPr>
            </w:pPr>
            <w:r w:rsidRPr="00A472AD">
              <w:rPr>
                <w:kern w:val="2"/>
                <w:sz w:val="28"/>
                <w:szCs w:val="28"/>
              </w:rPr>
              <w:t>больше 0</w:t>
            </w:r>
          </w:p>
        </w:tc>
      </w:tr>
    </w:tbl>
    <w:p w:rsidR="00CB4C28" w:rsidRPr="00A472AD" w:rsidRDefault="00CB4C28" w:rsidP="00CB4C28">
      <w:pPr>
        <w:autoSpaceDE w:val="0"/>
        <w:autoSpaceDN w:val="0"/>
        <w:adjustRightInd w:val="0"/>
        <w:ind w:firstLine="709"/>
        <w:jc w:val="both"/>
        <w:rPr>
          <w:kern w:val="2"/>
          <w:sz w:val="28"/>
          <w:szCs w:val="28"/>
        </w:rPr>
      </w:pPr>
      <w:bookmarkStart w:id="5" w:name="Par39"/>
      <w:bookmarkEnd w:id="5"/>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1.12. Вывод об удовлетворительном значении показателей К1, К2, К3 и К4 в анализируемом периоде делается, если их расчетные значения в отчетных периодах имели допустимое значение на протяжении большей части анализируемого периода (для показателей К1 и К2 при этом используются средние за отчетный период значения).</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Вывод об удовлетворительном значении показателей К3 и К4 в анализируемом периоде делается также в случае, если их значения, рассчитанные для всего анализируемого периода, имеют допустимое значение.</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1.13. Финансовое состояние принципала является удовлетворительным при условии, что в отношении каждого из показателей К1, К2, К3 и К4 сделан вывод о его удовлетворительном значении в анализируемом периоде.</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В иных случаях финансовое состояние принципала – юридического лица признается неудовлетворительным.</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Результаты анализа финансового состояния принципала – юридического лица оформляются в виде заключения финансового управления Администрации Белокалитвинского района.</w:t>
      </w:r>
    </w:p>
    <w:p w:rsidR="00CB4C28" w:rsidRPr="00A472AD" w:rsidRDefault="00CB4C28" w:rsidP="00CB4C28">
      <w:pPr>
        <w:autoSpaceDE w:val="0"/>
        <w:autoSpaceDN w:val="0"/>
        <w:adjustRightInd w:val="0"/>
        <w:ind w:firstLine="709"/>
        <w:jc w:val="both"/>
        <w:rPr>
          <w:kern w:val="2"/>
          <w:sz w:val="28"/>
          <w:szCs w:val="28"/>
        </w:rPr>
      </w:pPr>
    </w:p>
    <w:p w:rsidR="00CB4C28" w:rsidRPr="00A472AD" w:rsidRDefault="00CB4C28" w:rsidP="00CB4C28">
      <w:pPr>
        <w:pageBreakBefore/>
        <w:jc w:val="center"/>
        <w:rPr>
          <w:kern w:val="2"/>
          <w:sz w:val="28"/>
          <w:szCs w:val="28"/>
        </w:rPr>
      </w:pPr>
      <w:r w:rsidRPr="00A472AD">
        <w:rPr>
          <w:kern w:val="2"/>
          <w:sz w:val="28"/>
          <w:szCs w:val="28"/>
        </w:rPr>
        <w:lastRenderedPageBreak/>
        <w:t xml:space="preserve">2. Мониторинг финансового состояния принципала </w:t>
      </w:r>
    </w:p>
    <w:p w:rsidR="00CB4C28" w:rsidRPr="00A472AD" w:rsidRDefault="00CB4C28" w:rsidP="00CB4C28">
      <w:pPr>
        <w:jc w:val="center"/>
        <w:rPr>
          <w:kern w:val="2"/>
          <w:sz w:val="28"/>
          <w:szCs w:val="28"/>
        </w:rPr>
      </w:pPr>
      <w:r w:rsidRPr="00A472AD">
        <w:rPr>
          <w:kern w:val="2"/>
          <w:sz w:val="28"/>
          <w:szCs w:val="28"/>
        </w:rPr>
        <w:t>после предоставления муниципальной гарантии Белокалитвинского района</w:t>
      </w:r>
    </w:p>
    <w:p w:rsidR="00CB4C28" w:rsidRPr="00A472AD" w:rsidRDefault="00CB4C28" w:rsidP="00CB4C28">
      <w:pPr>
        <w:jc w:val="center"/>
        <w:rPr>
          <w:kern w:val="2"/>
          <w:sz w:val="28"/>
          <w:szCs w:val="28"/>
        </w:rPr>
      </w:pP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2.1. Мониторинг финансового состояния принципала после предоставления муниципальной гарантии Белокалитвинского района осуществляется в соответствии с частью 1 настоящей Методики на основании документов за отчетный год в объеме (составе) годовой бухгалтерской (финансовой, бюджетной) отчетности (далее – документы).</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 xml:space="preserve">2.2. Копии документов, заверенные подписями руководителя, главного бухгалтера и печатью (при наличии) принципала, предоставляются принципалом – юридическим лицом (организацией) в финансовое управление Администрации Белокалитвинского района не позднее месяца </w:t>
      </w:r>
      <w:proofErr w:type="gramStart"/>
      <w:r w:rsidRPr="00A472AD">
        <w:rPr>
          <w:kern w:val="2"/>
          <w:sz w:val="28"/>
          <w:szCs w:val="28"/>
        </w:rPr>
        <w:t>после окончания</w:t>
      </w:r>
      <w:proofErr w:type="gramEnd"/>
      <w:r w:rsidRPr="00A472AD">
        <w:rPr>
          <w:kern w:val="2"/>
          <w:sz w:val="28"/>
          <w:szCs w:val="28"/>
        </w:rPr>
        <w:t xml:space="preserve"> установленного законодательством Российской Федерации срока представления годовой бухгалтерской (финансовой) отчетности в налоговый орган по месту нахождения принципала.</w:t>
      </w:r>
    </w:p>
    <w:p w:rsidR="00CB4C28" w:rsidRPr="00A472AD" w:rsidRDefault="00CB4C28" w:rsidP="00CB4C28">
      <w:pPr>
        <w:autoSpaceDE w:val="0"/>
        <w:autoSpaceDN w:val="0"/>
        <w:adjustRightInd w:val="0"/>
        <w:ind w:firstLine="709"/>
        <w:jc w:val="both"/>
        <w:rPr>
          <w:kern w:val="2"/>
          <w:sz w:val="28"/>
          <w:szCs w:val="28"/>
        </w:rPr>
      </w:pPr>
    </w:p>
    <w:p w:rsidR="00CB4C28" w:rsidRPr="00A472AD" w:rsidRDefault="00CB4C28" w:rsidP="00CB4C28">
      <w:pPr>
        <w:jc w:val="center"/>
        <w:rPr>
          <w:kern w:val="2"/>
          <w:sz w:val="28"/>
          <w:szCs w:val="28"/>
        </w:rPr>
      </w:pPr>
      <w:r w:rsidRPr="00A472AD">
        <w:rPr>
          <w:kern w:val="2"/>
          <w:sz w:val="28"/>
          <w:szCs w:val="28"/>
        </w:rPr>
        <w:t xml:space="preserve">3. Проверка достаточности, надежности </w:t>
      </w:r>
    </w:p>
    <w:p w:rsidR="00CB4C28" w:rsidRPr="00A472AD" w:rsidRDefault="00CB4C28" w:rsidP="00CB4C28">
      <w:pPr>
        <w:jc w:val="center"/>
        <w:rPr>
          <w:kern w:val="2"/>
          <w:sz w:val="28"/>
          <w:szCs w:val="28"/>
        </w:rPr>
      </w:pPr>
      <w:r w:rsidRPr="00A472AD">
        <w:rPr>
          <w:kern w:val="2"/>
          <w:sz w:val="28"/>
          <w:szCs w:val="28"/>
        </w:rPr>
        <w:t xml:space="preserve">и ликвидности обеспечения, предоставляемого </w:t>
      </w:r>
    </w:p>
    <w:p w:rsidR="00CB4C28" w:rsidRPr="00A472AD" w:rsidRDefault="00CB4C28" w:rsidP="00CB4C28">
      <w:pPr>
        <w:jc w:val="center"/>
        <w:rPr>
          <w:kern w:val="2"/>
          <w:sz w:val="28"/>
          <w:szCs w:val="28"/>
        </w:rPr>
      </w:pPr>
      <w:r w:rsidRPr="00A472AD">
        <w:rPr>
          <w:kern w:val="2"/>
          <w:sz w:val="28"/>
          <w:szCs w:val="28"/>
        </w:rPr>
        <w:t>в соответствии с абзацем третьим пункта 1</w:t>
      </w:r>
      <w:r w:rsidRPr="00A472AD">
        <w:rPr>
          <w:kern w:val="2"/>
          <w:sz w:val="28"/>
          <w:szCs w:val="28"/>
          <w:vertAlign w:val="superscript"/>
        </w:rPr>
        <w:t>1</w:t>
      </w:r>
      <w:r w:rsidRPr="00A472AD">
        <w:rPr>
          <w:kern w:val="2"/>
          <w:sz w:val="28"/>
          <w:szCs w:val="28"/>
        </w:rPr>
        <w:t xml:space="preserve"> статьи 115</w:t>
      </w:r>
      <w:r w:rsidRPr="00A472AD">
        <w:rPr>
          <w:kern w:val="2"/>
          <w:sz w:val="28"/>
          <w:szCs w:val="28"/>
          <w:vertAlign w:val="superscript"/>
        </w:rPr>
        <w:t>2</w:t>
      </w:r>
      <w:r w:rsidRPr="00A472AD">
        <w:rPr>
          <w:kern w:val="2"/>
          <w:sz w:val="28"/>
          <w:szCs w:val="28"/>
        </w:rPr>
        <w:t xml:space="preserve"> Бюджетного </w:t>
      </w:r>
    </w:p>
    <w:p w:rsidR="00CB4C28" w:rsidRPr="00A472AD" w:rsidRDefault="00CB4C28" w:rsidP="00CB4C28">
      <w:pPr>
        <w:jc w:val="center"/>
        <w:rPr>
          <w:kern w:val="2"/>
          <w:sz w:val="28"/>
          <w:szCs w:val="28"/>
        </w:rPr>
      </w:pPr>
      <w:r w:rsidRPr="00A472AD">
        <w:rPr>
          <w:kern w:val="2"/>
          <w:sz w:val="28"/>
          <w:szCs w:val="28"/>
        </w:rPr>
        <w:t xml:space="preserve">кодекса Российской Федерации, при предоставлении муниципальной гарантии Белокалитвинского района, контроль за достаточностью, </w:t>
      </w:r>
    </w:p>
    <w:p w:rsidR="00CB4C28" w:rsidRPr="00A472AD" w:rsidRDefault="00CB4C28" w:rsidP="00CB4C28">
      <w:pPr>
        <w:jc w:val="center"/>
        <w:rPr>
          <w:kern w:val="2"/>
          <w:sz w:val="28"/>
          <w:szCs w:val="28"/>
        </w:rPr>
      </w:pPr>
      <w:r w:rsidRPr="00A472AD">
        <w:rPr>
          <w:kern w:val="2"/>
          <w:sz w:val="28"/>
          <w:szCs w:val="28"/>
        </w:rPr>
        <w:t xml:space="preserve">надежностью и ликвидностью предоставленного обеспечения </w:t>
      </w:r>
    </w:p>
    <w:p w:rsidR="00CB4C28" w:rsidRPr="00A472AD" w:rsidRDefault="00CB4C28" w:rsidP="00CB4C28">
      <w:pPr>
        <w:jc w:val="center"/>
        <w:rPr>
          <w:kern w:val="2"/>
          <w:sz w:val="28"/>
          <w:szCs w:val="28"/>
        </w:rPr>
      </w:pPr>
      <w:r w:rsidRPr="00A472AD">
        <w:rPr>
          <w:kern w:val="2"/>
          <w:sz w:val="28"/>
          <w:szCs w:val="28"/>
        </w:rPr>
        <w:t>после предоставления муниципальной гарантии Белокалитвинского района</w:t>
      </w:r>
    </w:p>
    <w:p w:rsidR="00CB4C28" w:rsidRPr="00A472AD" w:rsidRDefault="00CB4C28" w:rsidP="00CB4C28">
      <w:pPr>
        <w:jc w:val="center"/>
        <w:rPr>
          <w:kern w:val="2"/>
          <w:sz w:val="28"/>
          <w:szCs w:val="28"/>
        </w:rPr>
      </w:pP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3.1. Проверка достаточности, надежности и ликвидности обеспечения в виде поручительства при предоставлении муниципальной гарантии Белокалитвинского района, контроль за достаточностью, надежностью и ликвидностью предоставленного обеспечения в виде поручительства после предоставления муниципальной гарантии Белокалитвинского района осуществляется в соответствии с разделами 1 и 2 настоящей Методики.</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3.2. Банковская гарантия, предоставляемая при предоставлении муниципальной гарантии Белокалитвинского района, а также после предоставления муниципальной гарантии Белокалитвинского района, считается достаточным, надежным и ликвидным обеспечением в случае включения банка, предоставляющего банковскую гарантию, в перечень, предусмотренный частью 1</w:t>
      </w:r>
      <w:r w:rsidRPr="00A472AD">
        <w:rPr>
          <w:kern w:val="2"/>
          <w:sz w:val="28"/>
          <w:szCs w:val="28"/>
          <w:vertAlign w:val="superscript"/>
        </w:rPr>
        <w:t xml:space="preserve">2 </w:t>
      </w:r>
      <w:r w:rsidRPr="00A472AD">
        <w:rPr>
          <w:kern w:val="2"/>
          <w:sz w:val="28"/>
          <w:szCs w:val="28"/>
        </w:rPr>
        <w:t>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4C28" w:rsidRPr="00A472AD" w:rsidRDefault="00CB4C28" w:rsidP="00CB4C28">
      <w:pPr>
        <w:autoSpaceDE w:val="0"/>
        <w:autoSpaceDN w:val="0"/>
        <w:adjustRightInd w:val="0"/>
        <w:jc w:val="both"/>
        <w:rPr>
          <w:kern w:val="2"/>
          <w:sz w:val="28"/>
          <w:szCs w:val="28"/>
        </w:rPr>
      </w:pPr>
    </w:p>
    <w:p w:rsidR="00CB4C28" w:rsidRPr="00A472AD" w:rsidRDefault="00CB4C28" w:rsidP="00CB4C28">
      <w:pPr>
        <w:rPr>
          <w:kern w:val="2"/>
          <w:sz w:val="28"/>
          <w:szCs w:val="28"/>
        </w:rPr>
      </w:pPr>
    </w:p>
    <w:p w:rsidR="00CB4C28" w:rsidRPr="00A472AD" w:rsidRDefault="00CB4C28" w:rsidP="00CB4C28">
      <w:pPr>
        <w:rPr>
          <w:kern w:val="2"/>
          <w:sz w:val="28"/>
          <w:szCs w:val="28"/>
        </w:rPr>
      </w:pPr>
    </w:p>
    <w:p w:rsidR="00CB4C28" w:rsidRPr="00A472AD" w:rsidRDefault="00CB4C28" w:rsidP="00CB4C28">
      <w:pPr>
        <w:rPr>
          <w:sz w:val="28"/>
        </w:rPr>
      </w:pPr>
      <w:r w:rsidRPr="00A472AD">
        <w:rPr>
          <w:sz w:val="28"/>
        </w:rPr>
        <w:t>Управляющий делами                                                                   Л.Г. Василенко</w:t>
      </w:r>
    </w:p>
    <w:p w:rsidR="00CB4C28" w:rsidRPr="00A472AD" w:rsidRDefault="00CB4C28" w:rsidP="00CB4C28">
      <w:pPr>
        <w:pageBreakBefore/>
        <w:widowControl w:val="0"/>
        <w:autoSpaceDE w:val="0"/>
        <w:autoSpaceDN w:val="0"/>
        <w:ind w:left="6237"/>
        <w:jc w:val="center"/>
        <w:rPr>
          <w:sz w:val="28"/>
          <w:szCs w:val="28"/>
        </w:rPr>
      </w:pPr>
      <w:r w:rsidRPr="00A472AD">
        <w:rPr>
          <w:sz w:val="28"/>
          <w:szCs w:val="28"/>
        </w:rPr>
        <w:lastRenderedPageBreak/>
        <w:t>Приложение №</w:t>
      </w:r>
      <w:r w:rsidR="0074222E">
        <w:rPr>
          <w:sz w:val="28"/>
          <w:szCs w:val="28"/>
        </w:rPr>
        <w:t xml:space="preserve"> </w:t>
      </w:r>
      <w:r w:rsidRPr="00A472AD">
        <w:rPr>
          <w:sz w:val="28"/>
          <w:szCs w:val="28"/>
        </w:rPr>
        <w:t xml:space="preserve">2 </w:t>
      </w:r>
    </w:p>
    <w:p w:rsidR="00CB4C28" w:rsidRPr="00A472AD" w:rsidRDefault="00CB4C28" w:rsidP="00CB4C28">
      <w:pPr>
        <w:widowControl w:val="0"/>
        <w:autoSpaceDE w:val="0"/>
        <w:autoSpaceDN w:val="0"/>
        <w:ind w:left="6237"/>
        <w:jc w:val="center"/>
        <w:rPr>
          <w:sz w:val="28"/>
          <w:szCs w:val="28"/>
        </w:rPr>
      </w:pPr>
      <w:r w:rsidRPr="00A472AD">
        <w:rPr>
          <w:sz w:val="28"/>
          <w:szCs w:val="28"/>
        </w:rPr>
        <w:t>к постановлению</w:t>
      </w:r>
    </w:p>
    <w:p w:rsidR="00CB4C28" w:rsidRPr="00A472AD" w:rsidRDefault="00CB4C28" w:rsidP="00CB4C28">
      <w:pPr>
        <w:widowControl w:val="0"/>
        <w:autoSpaceDE w:val="0"/>
        <w:autoSpaceDN w:val="0"/>
        <w:ind w:left="6237"/>
        <w:jc w:val="center"/>
        <w:rPr>
          <w:sz w:val="28"/>
          <w:szCs w:val="28"/>
        </w:rPr>
      </w:pPr>
      <w:r w:rsidRPr="00A472AD">
        <w:rPr>
          <w:sz w:val="28"/>
          <w:szCs w:val="28"/>
        </w:rPr>
        <w:t>Администрации Белокалитвинского района</w:t>
      </w:r>
    </w:p>
    <w:p w:rsidR="00CB4C28" w:rsidRPr="00A472AD" w:rsidRDefault="00CB4C28" w:rsidP="00CB4C28">
      <w:pPr>
        <w:widowControl w:val="0"/>
        <w:autoSpaceDE w:val="0"/>
        <w:autoSpaceDN w:val="0"/>
        <w:ind w:left="6237"/>
        <w:jc w:val="center"/>
        <w:rPr>
          <w:sz w:val="28"/>
          <w:szCs w:val="28"/>
        </w:rPr>
      </w:pPr>
      <w:r w:rsidRPr="00A472AD">
        <w:rPr>
          <w:sz w:val="28"/>
          <w:szCs w:val="28"/>
        </w:rPr>
        <w:t xml:space="preserve">от </w:t>
      </w:r>
      <w:r w:rsidR="004A3331">
        <w:rPr>
          <w:sz w:val="28"/>
          <w:szCs w:val="28"/>
        </w:rPr>
        <w:t>22</w:t>
      </w:r>
      <w:r w:rsidR="0074222E">
        <w:rPr>
          <w:sz w:val="28"/>
          <w:szCs w:val="28"/>
        </w:rPr>
        <w:t>.06.2020</w:t>
      </w:r>
      <w:r w:rsidRPr="00A472AD">
        <w:rPr>
          <w:sz w:val="28"/>
          <w:szCs w:val="28"/>
        </w:rPr>
        <w:t xml:space="preserve"> №</w:t>
      </w:r>
      <w:r w:rsidR="004A3331">
        <w:rPr>
          <w:sz w:val="28"/>
          <w:szCs w:val="28"/>
        </w:rPr>
        <w:t xml:space="preserve"> 881</w:t>
      </w:r>
    </w:p>
    <w:p w:rsidR="00CB4C28" w:rsidRPr="00A472AD" w:rsidRDefault="00CB4C28" w:rsidP="00CB4C28">
      <w:pPr>
        <w:jc w:val="center"/>
        <w:rPr>
          <w:kern w:val="2"/>
          <w:sz w:val="28"/>
          <w:szCs w:val="28"/>
        </w:rPr>
      </w:pPr>
    </w:p>
    <w:p w:rsidR="00CB4C28" w:rsidRPr="00A472AD" w:rsidRDefault="00CB4C28" w:rsidP="00CB4C28">
      <w:pPr>
        <w:jc w:val="center"/>
        <w:rPr>
          <w:kern w:val="2"/>
          <w:sz w:val="28"/>
          <w:szCs w:val="28"/>
        </w:rPr>
      </w:pPr>
    </w:p>
    <w:p w:rsidR="00CB4C28" w:rsidRPr="00A472AD" w:rsidRDefault="00CB4C28" w:rsidP="00CB4C28">
      <w:pPr>
        <w:jc w:val="center"/>
        <w:rPr>
          <w:kern w:val="2"/>
          <w:sz w:val="28"/>
          <w:szCs w:val="28"/>
        </w:rPr>
      </w:pPr>
      <w:r w:rsidRPr="00A472AD">
        <w:rPr>
          <w:kern w:val="2"/>
          <w:sz w:val="28"/>
          <w:szCs w:val="28"/>
        </w:rPr>
        <w:t>МЕТОДИКА</w:t>
      </w:r>
    </w:p>
    <w:p w:rsidR="00CB4C28" w:rsidRPr="00A472AD" w:rsidRDefault="00CB4C28" w:rsidP="00CB4C28">
      <w:pPr>
        <w:jc w:val="center"/>
        <w:rPr>
          <w:bCs/>
          <w:kern w:val="2"/>
          <w:sz w:val="28"/>
          <w:szCs w:val="28"/>
        </w:rPr>
      </w:pPr>
      <w:r w:rsidRPr="00A472AD">
        <w:rPr>
          <w:kern w:val="2"/>
          <w:sz w:val="28"/>
          <w:szCs w:val="28"/>
        </w:rPr>
        <w:t xml:space="preserve"> осуществления о</w:t>
      </w:r>
      <w:r w:rsidRPr="00A472AD">
        <w:rPr>
          <w:bCs/>
          <w:kern w:val="2"/>
          <w:sz w:val="28"/>
          <w:szCs w:val="28"/>
        </w:rPr>
        <w:t xml:space="preserve">ценки надежности банковской гарантии, поручительства </w:t>
      </w:r>
    </w:p>
    <w:p w:rsidR="00CB4C28" w:rsidRPr="00A472AD" w:rsidRDefault="00CB4C28" w:rsidP="00CB4C28">
      <w:pPr>
        <w:jc w:val="center"/>
        <w:rPr>
          <w:bCs/>
          <w:kern w:val="2"/>
          <w:sz w:val="28"/>
          <w:szCs w:val="28"/>
        </w:rPr>
      </w:pPr>
    </w:p>
    <w:p w:rsidR="00CB4C28" w:rsidRPr="00A472AD" w:rsidRDefault="00CB4C28" w:rsidP="00CB4C28">
      <w:pPr>
        <w:jc w:val="center"/>
        <w:rPr>
          <w:bCs/>
          <w:kern w:val="2"/>
          <w:sz w:val="28"/>
          <w:szCs w:val="28"/>
        </w:rPr>
      </w:pP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 xml:space="preserve">1. Оценка </w:t>
      </w:r>
      <w:r w:rsidRPr="00A472AD">
        <w:rPr>
          <w:bCs/>
          <w:kern w:val="2"/>
          <w:sz w:val="28"/>
          <w:szCs w:val="28"/>
        </w:rPr>
        <w:t>надежности банковской гарантии, поручительства</w:t>
      </w:r>
      <w:r w:rsidRPr="00A472AD">
        <w:rPr>
          <w:kern w:val="2"/>
          <w:sz w:val="28"/>
          <w:szCs w:val="28"/>
        </w:rPr>
        <w:t xml:space="preserve"> осуществляется финансовым управлением Администрации Белокалитвинского района на основании полного комплекта документов согласно перечню, устанавливаемому Администрацией Белокалитвинского района.</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 xml:space="preserve">2. Оценка надежности банковской гарантии, поручительства проводится в два этапа. На первом этапе анализируется соответствие банка – гаранта, поручителя требованиям, установленным </w:t>
      </w:r>
      <w:hyperlink r:id="rId15" w:history="1">
        <w:r w:rsidRPr="00A472AD">
          <w:rPr>
            <w:kern w:val="2"/>
            <w:sz w:val="28"/>
            <w:szCs w:val="28"/>
          </w:rPr>
          <w:t>абзацами третьим</w:t>
        </w:r>
      </w:hyperlink>
      <w:r w:rsidRPr="00A472AD">
        <w:rPr>
          <w:kern w:val="2"/>
          <w:sz w:val="28"/>
          <w:szCs w:val="28"/>
        </w:rPr>
        <w:t xml:space="preserve"> – </w:t>
      </w:r>
      <w:hyperlink r:id="rId16" w:history="1">
        <w:r w:rsidRPr="00A472AD">
          <w:rPr>
            <w:kern w:val="2"/>
            <w:sz w:val="28"/>
            <w:szCs w:val="28"/>
          </w:rPr>
          <w:t>шестым пункта 3 статьи 93</w:t>
        </w:r>
        <w:r w:rsidRPr="00A472AD">
          <w:rPr>
            <w:kern w:val="2"/>
            <w:sz w:val="28"/>
            <w:szCs w:val="28"/>
            <w:vertAlign w:val="superscript"/>
          </w:rPr>
          <w:t>2</w:t>
        </w:r>
      </w:hyperlink>
      <w:r w:rsidRPr="00A472AD">
        <w:rPr>
          <w:kern w:val="2"/>
          <w:sz w:val="28"/>
          <w:szCs w:val="28"/>
        </w:rPr>
        <w:t xml:space="preserve"> Бюджетного кодекса Российской Федерации.</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3. На втором этапе оценка надежности банковской гарантии, поручительства осуществляется в соответствии с пунктом 3.2 раздела 3 и пункта 1.6 раздела 1 Методики осуществления анализа финансового состояния принципала, проверки достаточности, надежности и ликвидности обеспечения, предоставляемого в соответствии с абзацем третьим пункта 1</w:t>
      </w:r>
      <w:r w:rsidRPr="00A472AD">
        <w:rPr>
          <w:kern w:val="2"/>
          <w:sz w:val="28"/>
          <w:szCs w:val="28"/>
          <w:vertAlign w:val="superscript"/>
        </w:rPr>
        <w:t>1</w:t>
      </w:r>
      <w:r w:rsidRPr="00A472AD">
        <w:rPr>
          <w:kern w:val="2"/>
          <w:sz w:val="28"/>
          <w:szCs w:val="28"/>
        </w:rPr>
        <w:t xml:space="preserve"> статьи 115</w:t>
      </w:r>
      <w:r w:rsidRPr="00A472AD">
        <w:rPr>
          <w:kern w:val="2"/>
          <w:sz w:val="28"/>
          <w:szCs w:val="28"/>
          <w:vertAlign w:val="superscript"/>
        </w:rPr>
        <w:t>2</w:t>
      </w:r>
      <w:r w:rsidRPr="00A472AD">
        <w:rPr>
          <w:kern w:val="2"/>
          <w:sz w:val="28"/>
          <w:szCs w:val="28"/>
        </w:rPr>
        <w:t xml:space="preserve"> Бюджетного кодекса Российской Федерации, при предоставлении муниципальной гарантии Белокалитвинского района,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муниципальной гарантии Белокалитвинского района.</w:t>
      </w:r>
    </w:p>
    <w:p w:rsidR="00CB4C28" w:rsidRPr="00A472AD" w:rsidRDefault="00CB4C28" w:rsidP="00CB4C28">
      <w:pPr>
        <w:autoSpaceDE w:val="0"/>
        <w:autoSpaceDN w:val="0"/>
        <w:adjustRightInd w:val="0"/>
        <w:ind w:firstLine="709"/>
        <w:jc w:val="both"/>
        <w:rPr>
          <w:kern w:val="2"/>
          <w:sz w:val="28"/>
          <w:szCs w:val="28"/>
        </w:rPr>
      </w:pPr>
      <w:r w:rsidRPr="00A472AD">
        <w:rPr>
          <w:kern w:val="2"/>
          <w:sz w:val="28"/>
          <w:szCs w:val="28"/>
        </w:rPr>
        <w:t xml:space="preserve">4. Результаты оценки </w:t>
      </w:r>
      <w:r w:rsidRPr="00A472AD">
        <w:rPr>
          <w:bCs/>
          <w:kern w:val="2"/>
          <w:sz w:val="28"/>
          <w:szCs w:val="28"/>
        </w:rPr>
        <w:t>надежности банковской гарантии, поручительства</w:t>
      </w:r>
      <w:r w:rsidRPr="00A472AD">
        <w:rPr>
          <w:kern w:val="2"/>
          <w:sz w:val="28"/>
          <w:szCs w:val="28"/>
        </w:rPr>
        <w:t xml:space="preserve"> оформляются в виде заключения финансового управления Администрации Белокалитвинского района.</w:t>
      </w:r>
    </w:p>
    <w:p w:rsidR="00CB4C28" w:rsidRPr="00A472AD" w:rsidRDefault="00CB4C28" w:rsidP="00CB4C28">
      <w:pPr>
        <w:jc w:val="center"/>
        <w:rPr>
          <w:sz w:val="28"/>
          <w:szCs w:val="28"/>
        </w:rPr>
      </w:pPr>
    </w:p>
    <w:p w:rsidR="00CB4C28" w:rsidRPr="00A472AD" w:rsidRDefault="00CB4C28" w:rsidP="00CB4C28">
      <w:pPr>
        <w:rPr>
          <w:sz w:val="28"/>
          <w:szCs w:val="28"/>
        </w:rPr>
      </w:pPr>
    </w:p>
    <w:p w:rsidR="00CB4C28" w:rsidRPr="00A472AD" w:rsidRDefault="00CB4C28" w:rsidP="00CB4C28">
      <w:pPr>
        <w:rPr>
          <w:sz w:val="28"/>
        </w:rPr>
      </w:pPr>
    </w:p>
    <w:p w:rsidR="00CB4C28" w:rsidRDefault="00CB4C28" w:rsidP="00CB4C28">
      <w:pPr>
        <w:rPr>
          <w:sz w:val="28"/>
        </w:rPr>
      </w:pPr>
      <w:r w:rsidRPr="00A472AD">
        <w:rPr>
          <w:sz w:val="28"/>
        </w:rPr>
        <w:t>Управляющий делами                                                                   Л.Г. Василенко</w:t>
      </w:r>
    </w:p>
    <w:p w:rsidR="00CB4C28" w:rsidRPr="001B152D" w:rsidRDefault="00CB4C28" w:rsidP="00835273">
      <w:pPr>
        <w:rPr>
          <w:sz w:val="28"/>
          <w:szCs w:val="28"/>
        </w:rPr>
      </w:pPr>
    </w:p>
    <w:sectPr w:rsidR="00CB4C28" w:rsidRPr="001B152D" w:rsidSect="00DA368D">
      <w:headerReference w:type="default" r:id="rId17"/>
      <w:footerReference w:type="default" r:id="rId18"/>
      <w:footerReference w:type="first" r:id="rId19"/>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B9" w:rsidRDefault="00FB5EB9">
      <w:r>
        <w:separator/>
      </w:r>
    </w:p>
  </w:endnote>
  <w:endnote w:type="continuationSeparator" w:id="0">
    <w:p w:rsidR="00FB5EB9" w:rsidRDefault="00FB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4222E" w:rsidRPr="0074222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4222E">
      <w:rPr>
        <w:noProof/>
        <w:sz w:val="14"/>
        <w:lang w:val="en-US"/>
      </w:rPr>
      <w:t>C</w:t>
    </w:r>
    <w:r w:rsidR="0074222E" w:rsidRPr="0074222E">
      <w:rPr>
        <w:noProof/>
        <w:sz w:val="14"/>
      </w:rPr>
      <w:t>:\</w:t>
    </w:r>
    <w:r w:rsidR="0074222E">
      <w:rPr>
        <w:noProof/>
        <w:sz w:val="14"/>
        <w:lang w:val="en-US"/>
      </w:rPr>
      <w:t>Users</w:t>
    </w:r>
    <w:r w:rsidR="0074222E" w:rsidRPr="0074222E">
      <w:rPr>
        <w:noProof/>
        <w:sz w:val="14"/>
      </w:rPr>
      <w:t>\</w:t>
    </w:r>
    <w:r w:rsidR="0074222E">
      <w:rPr>
        <w:noProof/>
        <w:sz w:val="14"/>
        <w:lang w:val="en-US"/>
      </w:rPr>
      <w:t>eio</w:t>
    </w:r>
    <w:r w:rsidR="0074222E" w:rsidRPr="0074222E">
      <w:rPr>
        <w:noProof/>
        <w:sz w:val="14"/>
      </w:rPr>
      <w:t>3\Сохранения Алентьева\Мои документы\Постановления\анализ_гарантия-поручит.</w:t>
    </w:r>
    <w:r w:rsidR="0074222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93FE7" w:rsidRPr="00393FE7">
      <w:rPr>
        <w:noProof/>
        <w:sz w:val="14"/>
      </w:rPr>
      <w:t>6/25/2020 2:37:00</w:t>
    </w:r>
    <w:r w:rsidR="00393FE7">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393FE7">
      <w:rPr>
        <w:noProof/>
        <w:sz w:val="14"/>
        <w:lang w:val="en-US"/>
      </w:rPr>
      <w:t>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93FE7">
      <w:rPr>
        <w:noProof/>
        <w:sz w:val="14"/>
      </w:rPr>
      <w:t>7</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4222E" w:rsidRPr="0074222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4222E">
      <w:rPr>
        <w:noProof/>
        <w:sz w:val="14"/>
        <w:lang w:val="en-US"/>
      </w:rPr>
      <w:t>C</w:t>
    </w:r>
    <w:r w:rsidR="0074222E" w:rsidRPr="0074222E">
      <w:rPr>
        <w:noProof/>
        <w:sz w:val="14"/>
      </w:rPr>
      <w:t>:\</w:t>
    </w:r>
    <w:r w:rsidR="0074222E">
      <w:rPr>
        <w:noProof/>
        <w:sz w:val="14"/>
        <w:lang w:val="en-US"/>
      </w:rPr>
      <w:t>Users</w:t>
    </w:r>
    <w:r w:rsidR="0074222E" w:rsidRPr="0074222E">
      <w:rPr>
        <w:noProof/>
        <w:sz w:val="14"/>
      </w:rPr>
      <w:t>\</w:t>
    </w:r>
    <w:r w:rsidR="0074222E">
      <w:rPr>
        <w:noProof/>
        <w:sz w:val="14"/>
        <w:lang w:val="en-US"/>
      </w:rPr>
      <w:t>eio</w:t>
    </w:r>
    <w:r w:rsidR="0074222E" w:rsidRPr="0074222E">
      <w:rPr>
        <w:noProof/>
        <w:sz w:val="14"/>
      </w:rPr>
      <w:t>3\Сохранения Алентьева\Мои документы\Постановления\анализ_гарантия-поручит.</w:t>
    </w:r>
    <w:r w:rsidR="0074222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93FE7" w:rsidRPr="00393FE7">
      <w:rPr>
        <w:noProof/>
        <w:sz w:val="14"/>
      </w:rPr>
      <w:t>6/25/2020 2:37:00</w:t>
    </w:r>
    <w:r w:rsidR="00393FE7">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B9" w:rsidRDefault="00FB5EB9">
      <w:r>
        <w:separator/>
      </w:r>
    </w:p>
  </w:footnote>
  <w:footnote w:type="continuationSeparator" w:id="0">
    <w:p w:rsidR="00FB5EB9" w:rsidRDefault="00FB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393FE7">
          <w:rPr>
            <w:noProof/>
          </w:rPr>
          <w:t>7</w:t>
        </w:r>
        <w:r>
          <w:fldChar w:fldCharType="end"/>
        </w:r>
      </w:p>
    </w:sdtContent>
  </w:sdt>
  <w:p w:rsidR="00DA368D" w:rsidRDefault="00DA36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15074"/>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2710A"/>
    <w:rsid w:val="00130BA6"/>
    <w:rsid w:val="00144A39"/>
    <w:rsid w:val="00161763"/>
    <w:rsid w:val="00162686"/>
    <w:rsid w:val="001630AD"/>
    <w:rsid w:val="001643E9"/>
    <w:rsid w:val="00191DF6"/>
    <w:rsid w:val="001B152D"/>
    <w:rsid w:val="001C2CCF"/>
    <w:rsid w:val="001C731B"/>
    <w:rsid w:val="001D3A0E"/>
    <w:rsid w:val="001F0876"/>
    <w:rsid w:val="00217475"/>
    <w:rsid w:val="00232CB2"/>
    <w:rsid w:val="00233190"/>
    <w:rsid w:val="00241D5F"/>
    <w:rsid w:val="00244BD2"/>
    <w:rsid w:val="002D2F0F"/>
    <w:rsid w:val="002D4093"/>
    <w:rsid w:val="002F52FA"/>
    <w:rsid w:val="00316A76"/>
    <w:rsid w:val="00320F99"/>
    <w:rsid w:val="00326F6E"/>
    <w:rsid w:val="00334D2B"/>
    <w:rsid w:val="00346A95"/>
    <w:rsid w:val="00354895"/>
    <w:rsid w:val="0037568B"/>
    <w:rsid w:val="003818F3"/>
    <w:rsid w:val="00393FE7"/>
    <w:rsid w:val="003A39C2"/>
    <w:rsid w:val="003F3219"/>
    <w:rsid w:val="00405D8A"/>
    <w:rsid w:val="004148E7"/>
    <w:rsid w:val="00434945"/>
    <w:rsid w:val="00446556"/>
    <w:rsid w:val="00464534"/>
    <w:rsid w:val="00466AF2"/>
    <w:rsid w:val="00475850"/>
    <w:rsid w:val="00482BF6"/>
    <w:rsid w:val="004A3331"/>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E05D3"/>
    <w:rsid w:val="00715C8D"/>
    <w:rsid w:val="00724FEA"/>
    <w:rsid w:val="0074222E"/>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40C35"/>
    <w:rsid w:val="00A7344C"/>
    <w:rsid w:val="00A76FEC"/>
    <w:rsid w:val="00A773B5"/>
    <w:rsid w:val="00A80C39"/>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4ED"/>
    <w:rsid w:val="00C651E0"/>
    <w:rsid w:val="00C70947"/>
    <w:rsid w:val="00C77C43"/>
    <w:rsid w:val="00CA0926"/>
    <w:rsid w:val="00CB4C28"/>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204C"/>
    <w:rsid w:val="00E57C9A"/>
    <w:rsid w:val="00E6029D"/>
    <w:rsid w:val="00E76CBF"/>
    <w:rsid w:val="00E84D87"/>
    <w:rsid w:val="00E9655A"/>
    <w:rsid w:val="00EA0F1C"/>
    <w:rsid w:val="00EE1F7E"/>
    <w:rsid w:val="00F239EE"/>
    <w:rsid w:val="00F23EC9"/>
    <w:rsid w:val="00F4755E"/>
    <w:rsid w:val="00F76CA4"/>
    <w:rsid w:val="00FB5EB9"/>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D31C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21EC06F5AC0B90DF9949F1DF404433BB8C59D0BA1A7709FF3E3F359D37950D7C408497FBD0242B8D65DB9C246306709CBDA84A6C546m056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consultantplus://offline/ref=421EC06F5AC0B90DF9949F1DF404433BB8C59D0BA1A7709FF3E3F359D37950D7C408497FBD0549B8D65DB9C246306709CBDA84A6C546m056N" TargetMode="Externa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C7296-D6C0-4C00-9C41-F9F23AAA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8</TotalTime>
  <Pages>1</Pages>
  <Words>1898</Words>
  <Characters>10821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2020-06-18T12:07:00Z</cp:lastPrinted>
  <dcterms:created xsi:type="dcterms:W3CDTF">2020-06-18T12:04:00Z</dcterms:created>
  <dcterms:modified xsi:type="dcterms:W3CDTF">2020-07-08T12:03:00Z</dcterms:modified>
</cp:coreProperties>
</file>